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1701"/>
        <w:gridCol w:w="5844"/>
      </w:tblGrid>
      <w:tr w:rsidR="00A75DEA" w14:paraId="6D86F87A" w14:textId="77777777" w:rsidTr="006A07B7">
        <w:tc>
          <w:tcPr>
            <w:tcW w:w="2943" w:type="dxa"/>
            <w:vAlign w:val="center"/>
          </w:tcPr>
          <w:p w14:paraId="297A95F9" w14:textId="77777777" w:rsidR="00641AA3" w:rsidRDefault="00A75DEA" w:rsidP="00641AA3">
            <w:pPr>
              <w:jc w:val="center"/>
              <w:rPr>
                <w:b/>
                <w:sz w:val="24"/>
                <w:szCs w:val="24"/>
              </w:rPr>
            </w:pPr>
            <w:r w:rsidRPr="00641AA3">
              <w:rPr>
                <w:b/>
                <w:sz w:val="24"/>
                <w:szCs w:val="24"/>
              </w:rPr>
              <w:t xml:space="preserve">Okres: </w:t>
            </w:r>
            <w:r w:rsidR="006D7060">
              <w:rPr>
                <w:b/>
                <w:sz w:val="24"/>
                <w:szCs w:val="24"/>
              </w:rPr>
              <w:t>Piešťany</w:t>
            </w:r>
          </w:p>
          <w:p w14:paraId="5ED83604" w14:textId="77777777" w:rsidR="00641AA3" w:rsidRPr="00641AA3" w:rsidRDefault="00641AA3" w:rsidP="00641A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9D1903" w14:textId="77777777" w:rsidR="00A75DEA" w:rsidRPr="00641AA3" w:rsidRDefault="00A75DEA" w:rsidP="00641AA3">
            <w:pPr>
              <w:jc w:val="center"/>
              <w:rPr>
                <w:b/>
                <w:sz w:val="24"/>
                <w:szCs w:val="24"/>
              </w:rPr>
            </w:pPr>
            <w:r w:rsidRPr="00641AA3">
              <w:rPr>
                <w:b/>
                <w:sz w:val="24"/>
                <w:szCs w:val="24"/>
              </w:rPr>
              <w:t>2013</w:t>
            </w:r>
          </w:p>
        </w:tc>
        <w:tc>
          <w:tcPr>
            <w:tcW w:w="5844" w:type="dxa"/>
            <w:vMerge w:val="restart"/>
          </w:tcPr>
          <w:p w14:paraId="3C4B1D18" w14:textId="77777777" w:rsidR="001D62A9" w:rsidRDefault="001E6ADD" w:rsidP="001E6ADD">
            <w:pPr>
              <w:jc w:val="both"/>
              <w:rPr>
                <w:sz w:val="18"/>
                <w:szCs w:val="18"/>
              </w:rPr>
            </w:pPr>
            <w:r w:rsidRPr="00DD7761">
              <w:rPr>
                <w:b/>
                <w:sz w:val="18"/>
                <w:szCs w:val="18"/>
              </w:rPr>
              <w:t>Charakteristika</w:t>
            </w:r>
            <w:r w:rsidRPr="00DD7761">
              <w:rPr>
                <w:sz w:val="18"/>
                <w:szCs w:val="18"/>
              </w:rPr>
              <w:t xml:space="preserve">: </w:t>
            </w:r>
          </w:p>
          <w:p w14:paraId="22351A80" w14:textId="395ECF0A" w:rsidR="001E6ADD" w:rsidRDefault="001E6ADD" w:rsidP="001E6ADD">
            <w:pPr>
              <w:jc w:val="both"/>
              <w:rPr>
                <w:sz w:val="18"/>
                <w:szCs w:val="18"/>
              </w:rPr>
            </w:pPr>
            <w:r w:rsidRPr="00DD7761">
              <w:rPr>
                <w:sz w:val="18"/>
                <w:szCs w:val="18"/>
              </w:rPr>
              <w:t xml:space="preserve">Okres </w:t>
            </w:r>
            <w:r w:rsidR="001D62A9">
              <w:rPr>
                <w:sz w:val="18"/>
                <w:szCs w:val="18"/>
              </w:rPr>
              <w:t>Piešťany</w:t>
            </w:r>
            <w:r w:rsidRPr="00DD7761">
              <w:rPr>
                <w:sz w:val="18"/>
                <w:szCs w:val="18"/>
              </w:rPr>
              <w:t xml:space="preserve"> mal ku koncu roka 2013 </w:t>
            </w:r>
            <w:r>
              <w:rPr>
                <w:sz w:val="18"/>
                <w:szCs w:val="18"/>
              </w:rPr>
              <w:t>63 141</w:t>
            </w:r>
            <w:r w:rsidR="001D62A9">
              <w:rPr>
                <w:sz w:val="18"/>
                <w:szCs w:val="18"/>
              </w:rPr>
              <w:t xml:space="preserve"> obyvateľov</w:t>
            </w:r>
            <w:r w:rsidRPr="00DD7761">
              <w:rPr>
                <w:rFonts w:cs="Times New Roman"/>
                <w:color w:val="000000"/>
                <w:sz w:val="18"/>
                <w:szCs w:val="18"/>
              </w:rPr>
              <w:t xml:space="preserve"> (z toho </w:t>
            </w:r>
            <w:r>
              <w:rPr>
                <w:rFonts w:cs="Times New Roman"/>
                <w:color w:val="000000"/>
                <w:sz w:val="18"/>
                <w:szCs w:val="18"/>
              </w:rPr>
              <w:t>30</w:t>
            </w:r>
            <w:r w:rsidR="001D62A9"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/>
                <w:color w:val="000000"/>
                <w:sz w:val="18"/>
                <w:szCs w:val="18"/>
              </w:rPr>
              <w:t>592</w:t>
            </w:r>
            <w:r w:rsidRPr="00DD7761">
              <w:rPr>
                <w:rFonts w:cs="Times New Roman"/>
                <w:color w:val="000000"/>
                <w:sz w:val="18"/>
                <w:szCs w:val="18"/>
              </w:rPr>
              <w:t xml:space="preserve"> mužov a</w:t>
            </w:r>
            <w:r w:rsidR="001D62A9">
              <w:rPr>
                <w:rFonts w:cs="Times New Roman"/>
                <w:color w:val="000000"/>
                <w:sz w:val="18"/>
                <w:szCs w:val="18"/>
              </w:rPr>
              <w:t> </w:t>
            </w:r>
            <w:r>
              <w:rPr>
                <w:rFonts w:cs="Times New Roman"/>
                <w:color w:val="000000"/>
                <w:sz w:val="18"/>
                <w:szCs w:val="18"/>
              </w:rPr>
              <w:t>32</w:t>
            </w:r>
            <w:r w:rsidR="001D62A9"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/>
                <w:color w:val="000000"/>
                <w:sz w:val="18"/>
                <w:szCs w:val="18"/>
              </w:rPr>
              <w:t>549</w:t>
            </w:r>
            <w:r w:rsidRPr="00DD7761">
              <w:rPr>
                <w:rFonts w:cs="Times New Roman"/>
                <w:color w:val="000000"/>
                <w:sz w:val="18"/>
                <w:szCs w:val="18"/>
              </w:rPr>
              <w:t xml:space="preserve"> žien)</w:t>
            </w:r>
            <w:r w:rsidRPr="00DD7761">
              <w:rPr>
                <w:sz w:val="18"/>
                <w:szCs w:val="18"/>
              </w:rPr>
              <w:t xml:space="preserve">, pričom zaznamenávame </w:t>
            </w:r>
            <w:r>
              <w:rPr>
                <w:sz w:val="18"/>
                <w:szCs w:val="18"/>
              </w:rPr>
              <w:t>nárast počtu obyvateľov (</w:t>
            </w:r>
            <w:r w:rsidRPr="00DD7761">
              <w:rPr>
                <w:sz w:val="18"/>
                <w:szCs w:val="18"/>
              </w:rPr>
              <w:t xml:space="preserve">v roku 2012 žilo v okrese </w:t>
            </w:r>
            <w:r>
              <w:rPr>
                <w:sz w:val="18"/>
                <w:szCs w:val="18"/>
              </w:rPr>
              <w:t>Piešťany</w:t>
            </w:r>
            <w:r w:rsidRPr="00DD776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63 090</w:t>
            </w:r>
            <w:r w:rsidRPr="00DD7761">
              <w:rPr>
                <w:sz w:val="18"/>
                <w:szCs w:val="18"/>
              </w:rPr>
              <w:t xml:space="preserve"> obyvateľov</w:t>
            </w:r>
            <w:r w:rsidR="001D62A9">
              <w:rPr>
                <w:sz w:val="18"/>
                <w:szCs w:val="18"/>
              </w:rPr>
              <w:t xml:space="preserve"> - </w:t>
            </w:r>
            <w:r w:rsidRPr="00DD7761">
              <w:rPr>
                <w:sz w:val="18"/>
                <w:szCs w:val="18"/>
              </w:rPr>
              <w:t>najvyšší počet obyvateľov bol v roku 201</w:t>
            </w:r>
            <w:r>
              <w:rPr>
                <w:sz w:val="18"/>
                <w:szCs w:val="18"/>
              </w:rPr>
              <w:t>0</w:t>
            </w:r>
            <w:r w:rsidRPr="00DD7761">
              <w:rPr>
                <w:sz w:val="18"/>
                <w:szCs w:val="18"/>
              </w:rPr>
              <w:t xml:space="preserve">, t.j. </w:t>
            </w:r>
            <w:r>
              <w:rPr>
                <w:sz w:val="18"/>
                <w:szCs w:val="18"/>
              </w:rPr>
              <w:t>64337</w:t>
            </w:r>
            <w:r w:rsidRPr="00DD7761">
              <w:rPr>
                <w:sz w:val="18"/>
                <w:szCs w:val="18"/>
              </w:rPr>
              <w:t xml:space="preserve"> obyvateľov). V okrese v roku 2013 je prevaha žien, prevláda národnosť slovenská</w:t>
            </w:r>
            <w:r>
              <w:rPr>
                <w:sz w:val="18"/>
                <w:szCs w:val="18"/>
              </w:rPr>
              <w:t>.</w:t>
            </w:r>
          </w:p>
          <w:p w14:paraId="6A466EF3" w14:textId="6302CE25" w:rsidR="001E6ADD" w:rsidRPr="00DD7761" w:rsidRDefault="001E6ADD" w:rsidP="001E6ADD">
            <w:pPr>
              <w:jc w:val="both"/>
              <w:rPr>
                <w:sz w:val="18"/>
                <w:szCs w:val="18"/>
              </w:rPr>
            </w:pPr>
            <w:r w:rsidRPr="00DD7761">
              <w:rPr>
                <w:sz w:val="18"/>
                <w:szCs w:val="18"/>
              </w:rPr>
              <w:t xml:space="preserve">V okrese </w:t>
            </w:r>
            <w:r>
              <w:rPr>
                <w:sz w:val="18"/>
                <w:szCs w:val="18"/>
              </w:rPr>
              <w:t>Piešťany</w:t>
            </w:r>
            <w:r w:rsidRPr="00DD7761">
              <w:rPr>
                <w:sz w:val="18"/>
                <w:szCs w:val="18"/>
              </w:rPr>
              <w:t xml:space="preserve">  žilo  roku 2013 v predproduktívnom veku (0-14) </w:t>
            </w:r>
            <w:r>
              <w:rPr>
                <w:sz w:val="18"/>
                <w:szCs w:val="18"/>
              </w:rPr>
              <w:t>8</w:t>
            </w:r>
            <w:r w:rsidR="001D62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161</w:t>
            </w:r>
            <w:r w:rsidRPr="00DD7761">
              <w:rPr>
                <w:sz w:val="18"/>
                <w:szCs w:val="18"/>
              </w:rPr>
              <w:t xml:space="preserve"> obyv., v produktívnom veku (15-64) </w:t>
            </w:r>
            <w:r>
              <w:rPr>
                <w:sz w:val="18"/>
                <w:szCs w:val="18"/>
              </w:rPr>
              <w:t>44</w:t>
            </w:r>
            <w:r w:rsidR="001D62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592</w:t>
            </w:r>
            <w:r w:rsidRPr="00DD7761">
              <w:rPr>
                <w:sz w:val="18"/>
                <w:szCs w:val="18"/>
              </w:rPr>
              <w:t xml:space="preserve"> obyv. a v poproduktívnom veku (65 -100+) </w:t>
            </w:r>
            <w:r>
              <w:rPr>
                <w:sz w:val="18"/>
                <w:szCs w:val="18"/>
              </w:rPr>
              <w:t>10</w:t>
            </w:r>
            <w:r w:rsidR="001D62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388</w:t>
            </w:r>
            <w:r w:rsidRPr="00DD7761">
              <w:rPr>
                <w:sz w:val="18"/>
                <w:szCs w:val="18"/>
              </w:rPr>
              <w:t xml:space="preserve"> obyv.</w:t>
            </w:r>
            <w:r w:rsidR="00971B59">
              <w:rPr>
                <w:sz w:val="18"/>
                <w:szCs w:val="18"/>
              </w:rPr>
              <w:t xml:space="preserve"> </w:t>
            </w:r>
            <w:r w:rsidRPr="00DD7761">
              <w:rPr>
                <w:sz w:val="18"/>
                <w:szCs w:val="18"/>
              </w:rPr>
              <w:t xml:space="preserve">Stredná dĺžka života v roku 2013 predstavovala nasledovné hodnoty: muži: </w:t>
            </w:r>
            <w:r>
              <w:rPr>
                <w:sz w:val="18"/>
                <w:szCs w:val="18"/>
              </w:rPr>
              <w:t>73,61</w:t>
            </w:r>
            <w:r w:rsidRPr="00DD7761">
              <w:rPr>
                <w:sz w:val="18"/>
                <w:szCs w:val="18"/>
              </w:rPr>
              <w:t xml:space="preserve"> a ženy: 80,</w:t>
            </w:r>
            <w:r>
              <w:rPr>
                <w:sz w:val="18"/>
                <w:szCs w:val="18"/>
              </w:rPr>
              <w:t>44</w:t>
            </w:r>
            <w:r w:rsidRPr="00DD7761">
              <w:rPr>
                <w:sz w:val="18"/>
                <w:szCs w:val="18"/>
              </w:rPr>
              <w:t>.</w:t>
            </w:r>
          </w:p>
          <w:p w14:paraId="55F5A496" w14:textId="7DAB4026" w:rsidR="008A34AC" w:rsidRDefault="001E6ADD" w:rsidP="001E6ADD">
            <w:pPr>
              <w:jc w:val="both"/>
              <w:rPr>
                <w:sz w:val="18"/>
                <w:szCs w:val="18"/>
              </w:rPr>
            </w:pPr>
            <w:r w:rsidRPr="00DD7761">
              <w:rPr>
                <w:sz w:val="18"/>
                <w:szCs w:val="18"/>
              </w:rPr>
              <w:t>Celkový prírastok</w:t>
            </w:r>
            <w:r w:rsidR="008A34AC">
              <w:rPr>
                <w:sz w:val="18"/>
                <w:szCs w:val="18"/>
              </w:rPr>
              <w:t xml:space="preserve"> </w:t>
            </w:r>
            <w:r w:rsidRPr="00DD7761">
              <w:rPr>
                <w:sz w:val="18"/>
                <w:szCs w:val="18"/>
              </w:rPr>
              <w:t xml:space="preserve">obyvateľstva je počas sledovaného obdobia (rok 2013) v hodnote </w:t>
            </w:r>
            <w:r w:rsidR="008A34AC">
              <w:rPr>
                <w:sz w:val="18"/>
                <w:szCs w:val="18"/>
              </w:rPr>
              <w:t>51. Saldo migrácie predstavuje hodnotu 151.</w:t>
            </w:r>
          </w:p>
          <w:p w14:paraId="1882C19A" w14:textId="77777777" w:rsidR="005F089B" w:rsidRDefault="005F089B" w:rsidP="001E6ADD">
            <w:pPr>
              <w:jc w:val="both"/>
              <w:rPr>
                <w:sz w:val="18"/>
                <w:szCs w:val="18"/>
              </w:rPr>
            </w:pPr>
          </w:p>
          <w:p w14:paraId="6B9A9C8E" w14:textId="47B0790A" w:rsidR="008A34AC" w:rsidRDefault="005F089B" w:rsidP="001E6ADD">
            <w:pPr>
              <w:jc w:val="both"/>
              <w:rPr>
                <w:sz w:val="18"/>
                <w:szCs w:val="18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82043E8" wp14:editId="4566EC44">
                  <wp:extent cx="3105696" cy="1443990"/>
                  <wp:effectExtent l="0" t="0" r="0" b="381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843" cy="1446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96F6CD" w14:textId="77777777" w:rsidR="001E6ADD" w:rsidRPr="00541526" w:rsidRDefault="001E6ADD" w:rsidP="008A34AC">
            <w:pPr>
              <w:jc w:val="both"/>
              <w:rPr>
                <w:sz w:val="20"/>
                <w:szCs w:val="20"/>
              </w:rPr>
            </w:pPr>
          </w:p>
        </w:tc>
      </w:tr>
      <w:tr w:rsidR="00A75DEA" w14:paraId="48F3ACFE" w14:textId="77777777" w:rsidTr="006A07B7">
        <w:tc>
          <w:tcPr>
            <w:tcW w:w="2943" w:type="dxa"/>
          </w:tcPr>
          <w:p w14:paraId="6DF750A3" w14:textId="4BB7F764" w:rsidR="00A75DEA" w:rsidRPr="00AF2C71" w:rsidRDefault="00A75DEA" w:rsidP="00A75DEA">
            <w:r w:rsidRPr="00AF2C71">
              <w:t xml:space="preserve">Počet obyvateľov: </w:t>
            </w:r>
          </w:p>
        </w:tc>
        <w:tc>
          <w:tcPr>
            <w:tcW w:w="1701" w:type="dxa"/>
          </w:tcPr>
          <w:p w14:paraId="43DD61D8" w14:textId="77777777" w:rsidR="00A75DEA" w:rsidRPr="002510DD" w:rsidRDefault="002D36B6" w:rsidP="005008FF">
            <w:pPr>
              <w:jc w:val="center"/>
              <w:rPr>
                <w:b/>
              </w:rPr>
            </w:pPr>
            <w:r>
              <w:rPr>
                <w:b/>
              </w:rPr>
              <w:t>63141</w:t>
            </w:r>
          </w:p>
        </w:tc>
        <w:tc>
          <w:tcPr>
            <w:tcW w:w="5844" w:type="dxa"/>
            <w:vMerge/>
          </w:tcPr>
          <w:p w14:paraId="1EFF7336" w14:textId="77777777" w:rsidR="00A75DEA" w:rsidRDefault="00A75DEA" w:rsidP="00A75DEA"/>
        </w:tc>
      </w:tr>
      <w:tr w:rsidR="00A75DEA" w14:paraId="098441C4" w14:textId="77777777" w:rsidTr="006A07B7">
        <w:tc>
          <w:tcPr>
            <w:tcW w:w="2943" w:type="dxa"/>
          </w:tcPr>
          <w:p w14:paraId="474065F6" w14:textId="77777777" w:rsidR="00A75DEA" w:rsidRPr="00AF2C71" w:rsidRDefault="00A75DEA" w:rsidP="00A75DEA">
            <w:r w:rsidRPr="00AF2C71">
              <w:t xml:space="preserve">Rozloha: </w:t>
            </w:r>
          </w:p>
        </w:tc>
        <w:tc>
          <w:tcPr>
            <w:tcW w:w="1701" w:type="dxa"/>
          </w:tcPr>
          <w:p w14:paraId="0C947878" w14:textId="77777777" w:rsidR="00A75DEA" w:rsidRPr="002510DD" w:rsidRDefault="002D36B6" w:rsidP="002D36B6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381</w:t>
            </w:r>
            <w:r w:rsidR="006A07B7" w:rsidRPr="002510DD">
              <w:rPr>
                <w:b/>
              </w:rPr>
              <w:t>,</w:t>
            </w:r>
            <w:r>
              <w:rPr>
                <w:b/>
              </w:rPr>
              <w:t>12</w:t>
            </w:r>
            <w:r w:rsidR="00AF2C71" w:rsidRPr="002510DD">
              <w:rPr>
                <w:b/>
              </w:rPr>
              <w:t xml:space="preserve"> km</w:t>
            </w:r>
            <w:r w:rsidR="00AF2C71" w:rsidRPr="002510DD">
              <w:rPr>
                <w:b/>
                <w:vertAlign w:val="superscript"/>
              </w:rPr>
              <w:t>2</w:t>
            </w:r>
          </w:p>
        </w:tc>
        <w:tc>
          <w:tcPr>
            <w:tcW w:w="5844" w:type="dxa"/>
            <w:vMerge/>
          </w:tcPr>
          <w:p w14:paraId="36DE4EDD" w14:textId="77777777" w:rsidR="00A75DEA" w:rsidRDefault="00A75DEA" w:rsidP="00A75DEA"/>
        </w:tc>
      </w:tr>
      <w:tr w:rsidR="00A75DEA" w14:paraId="2F1C26F1" w14:textId="77777777" w:rsidTr="006A07B7">
        <w:tc>
          <w:tcPr>
            <w:tcW w:w="2943" w:type="dxa"/>
          </w:tcPr>
          <w:p w14:paraId="31DBA8A3" w14:textId="77777777" w:rsidR="00A75DEA" w:rsidRPr="00AF2C71" w:rsidRDefault="00A75DEA" w:rsidP="00A75DEA">
            <w:r w:rsidRPr="00AF2C71">
              <w:t>Hustota zaľudnenia:</w:t>
            </w:r>
          </w:p>
        </w:tc>
        <w:tc>
          <w:tcPr>
            <w:tcW w:w="1701" w:type="dxa"/>
          </w:tcPr>
          <w:p w14:paraId="52E1440A" w14:textId="77777777" w:rsidR="00A75DEA" w:rsidRPr="002510DD" w:rsidRDefault="002D36B6" w:rsidP="009547D4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166</w:t>
            </w:r>
            <w:r w:rsidR="00AF2C71" w:rsidRPr="002510DD">
              <w:rPr>
                <w:b/>
              </w:rPr>
              <w:t xml:space="preserve"> obyv./km</w:t>
            </w:r>
            <w:r w:rsidR="00AF2C71" w:rsidRPr="002510DD">
              <w:rPr>
                <w:b/>
                <w:vertAlign w:val="superscript"/>
              </w:rPr>
              <w:t>2</w:t>
            </w:r>
          </w:p>
        </w:tc>
        <w:tc>
          <w:tcPr>
            <w:tcW w:w="5844" w:type="dxa"/>
            <w:vMerge/>
          </w:tcPr>
          <w:p w14:paraId="26FC10C5" w14:textId="77777777" w:rsidR="00A75DEA" w:rsidRDefault="00A75DEA" w:rsidP="00A75DEA"/>
        </w:tc>
      </w:tr>
      <w:tr w:rsidR="00A75DEA" w14:paraId="616AC9E8" w14:textId="77777777" w:rsidTr="006A07B7">
        <w:tc>
          <w:tcPr>
            <w:tcW w:w="2943" w:type="dxa"/>
          </w:tcPr>
          <w:p w14:paraId="660EA911" w14:textId="77777777" w:rsidR="00A75DEA" w:rsidRPr="00AF2C71" w:rsidRDefault="00A75DEA" w:rsidP="00A75DEA">
            <w:r w:rsidRPr="00AF2C71">
              <w:t>Celkový prírastok 2005-2013:</w:t>
            </w:r>
          </w:p>
        </w:tc>
        <w:tc>
          <w:tcPr>
            <w:tcW w:w="1701" w:type="dxa"/>
          </w:tcPr>
          <w:p w14:paraId="5B78CFE2" w14:textId="77777777" w:rsidR="00A75DEA" w:rsidRPr="00C51005" w:rsidRDefault="002D36B6" w:rsidP="008678DA">
            <w:pPr>
              <w:jc w:val="center"/>
              <w:rPr>
                <w:b/>
              </w:rPr>
            </w:pPr>
            <w:r>
              <w:rPr>
                <w:b/>
              </w:rPr>
              <w:t>423</w:t>
            </w:r>
          </w:p>
        </w:tc>
        <w:tc>
          <w:tcPr>
            <w:tcW w:w="5844" w:type="dxa"/>
            <w:vMerge/>
          </w:tcPr>
          <w:p w14:paraId="44CC01B8" w14:textId="77777777" w:rsidR="00A75DEA" w:rsidRDefault="00A75DEA" w:rsidP="00A75DEA"/>
        </w:tc>
      </w:tr>
      <w:tr w:rsidR="00A75DEA" w14:paraId="28EAE5AD" w14:textId="77777777" w:rsidTr="006A07B7">
        <w:tc>
          <w:tcPr>
            <w:tcW w:w="2943" w:type="dxa"/>
          </w:tcPr>
          <w:p w14:paraId="58D0AFDB" w14:textId="77777777" w:rsidR="00A75DEA" w:rsidRPr="00AF2C71" w:rsidRDefault="00A75DEA" w:rsidP="00A75DEA">
            <w:r w:rsidRPr="00AF2C71">
              <w:t>Saldo migrácie 2005-2013:</w:t>
            </w:r>
          </w:p>
        </w:tc>
        <w:tc>
          <w:tcPr>
            <w:tcW w:w="1701" w:type="dxa"/>
          </w:tcPr>
          <w:p w14:paraId="58F757F2" w14:textId="77777777" w:rsidR="00A75DEA" w:rsidRPr="00C51005" w:rsidRDefault="002D36B6" w:rsidP="00AF2C71">
            <w:pPr>
              <w:jc w:val="center"/>
              <w:rPr>
                <w:b/>
              </w:rPr>
            </w:pPr>
            <w:r>
              <w:rPr>
                <w:b/>
              </w:rPr>
              <w:t>1302</w:t>
            </w:r>
          </w:p>
        </w:tc>
        <w:tc>
          <w:tcPr>
            <w:tcW w:w="5844" w:type="dxa"/>
            <w:vMerge/>
          </w:tcPr>
          <w:p w14:paraId="23F5D4A1" w14:textId="77777777" w:rsidR="00A75DEA" w:rsidRDefault="00A75DEA" w:rsidP="00A75DEA"/>
        </w:tc>
      </w:tr>
      <w:tr w:rsidR="00A75DEA" w14:paraId="775B1C8C" w14:textId="77777777" w:rsidTr="006A07B7">
        <w:tc>
          <w:tcPr>
            <w:tcW w:w="2943" w:type="dxa"/>
            <w:vMerge w:val="restart"/>
          </w:tcPr>
          <w:p w14:paraId="5679F8BC" w14:textId="77777777" w:rsidR="00A75DEA" w:rsidRPr="00AF2C71" w:rsidRDefault="00A75DEA" w:rsidP="00A75DEA">
            <w:r w:rsidRPr="00AF2C71">
              <w:t>Stredná dĺžka života v r.: m</w:t>
            </w:r>
          </w:p>
          <w:p w14:paraId="20482ACD" w14:textId="77777777" w:rsidR="00A75DEA" w:rsidRPr="00AF2C71" w:rsidRDefault="00A75DEA" w:rsidP="00A75DEA">
            <w:r w:rsidRPr="00AF2C71">
              <w:t xml:space="preserve">                                          ž</w:t>
            </w:r>
          </w:p>
        </w:tc>
        <w:tc>
          <w:tcPr>
            <w:tcW w:w="1701" w:type="dxa"/>
          </w:tcPr>
          <w:p w14:paraId="0B9EC089" w14:textId="77777777" w:rsidR="00A75DEA" w:rsidRPr="00C51005" w:rsidRDefault="006852D3" w:rsidP="002D36B6">
            <w:pPr>
              <w:jc w:val="center"/>
              <w:rPr>
                <w:b/>
              </w:rPr>
            </w:pPr>
            <w:r w:rsidRPr="00C51005">
              <w:rPr>
                <w:b/>
              </w:rPr>
              <w:t>7</w:t>
            </w:r>
            <w:r w:rsidR="002D36B6">
              <w:rPr>
                <w:b/>
              </w:rPr>
              <w:t>3</w:t>
            </w:r>
            <w:r w:rsidRPr="00C51005">
              <w:rPr>
                <w:b/>
              </w:rPr>
              <w:t>,</w:t>
            </w:r>
            <w:r w:rsidR="002D36B6">
              <w:rPr>
                <w:b/>
              </w:rPr>
              <w:t>6</w:t>
            </w:r>
            <w:r w:rsidR="00B87E2B">
              <w:rPr>
                <w:b/>
              </w:rPr>
              <w:t>1</w:t>
            </w:r>
          </w:p>
        </w:tc>
        <w:tc>
          <w:tcPr>
            <w:tcW w:w="5844" w:type="dxa"/>
            <w:vMerge/>
          </w:tcPr>
          <w:p w14:paraId="644CF4E0" w14:textId="77777777" w:rsidR="00A75DEA" w:rsidRDefault="00A75DEA" w:rsidP="00A75DEA"/>
        </w:tc>
      </w:tr>
      <w:tr w:rsidR="00A75DEA" w14:paraId="7B037B26" w14:textId="77777777" w:rsidTr="006A07B7">
        <w:tc>
          <w:tcPr>
            <w:tcW w:w="2943" w:type="dxa"/>
            <w:vMerge/>
          </w:tcPr>
          <w:p w14:paraId="7D632BA1" w14:textId="77777777" w:rsidR="00A75DEA" w:rsidRDefault="00A75DEA" w:rsidP="00A75DEA"/>
        </w:tc>
        <w:tc>
          <w:tcPr>
            <w:tcW w:w="1701" w:type="dxa"/>
          </w:tcPr>
          <w:p w14:paraId="608DBA98" w14:textId="77777777" w:rsidR="00A75DEA" w:rsidRPr="00C51005" w:rsidRDefault="00F12EAE" w:rsidP="002D36B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B87E2B">
              <w:rPr>
                <w:b/>
              </w:rPr>
              <w:t>0</w:t>
            </w:r>
            <w:r w:rsidR="001A0B4D">
              <w:rPr>
                <w:b/>
              </w:rPr>
              <w:t>,</w:t>
            </w:r>
            <w:r w:rsidR="002D36B6">
              <w:rPr>
                <w:b/>
              </w:rPr>
              <w:t>44</w:t>
            </w:r>
          </w:p>
        </w:tc>
        <w:tc>
          <w:tcPr>
            <w:tcW w:w="5844" w:type="dxa"/>
            <w:vMerge/>
          </w:tcPr>
          <w:p w14:paraId="383C43D8" w14:textId="77777777" w:rsidR="00A75DEA" w:rsidRDefault="00A75DEA" w:rsidP="00A75DEA"/>
        </w:tc>
      </w:tr>
    </w:tbl>
    <w:p w14:paraId="4F985E29" w14:textId="77777777" w:rsidR="00E45C71" w:rsidRPr="00BE5C8A" w:rsidRDefault="00E45C71" w:rsidP="00AF2C71">
      <w:pPr>
        <w:pStyle w:val="NoSpacing"/>
        <w:rPr>
          <w:sz w:val="10"/>
          <w:szCs w:val="10"/>
        </w:rPr>
      </w:pPr>
    </w:p>
    <w:tbl>
      <w:tblPr>
        <w:tblStyle w:val="LightList-Accent2"/>
        <w:tblW w:w="0" w:type="auto"/>
        <w:tblLook w:val="04A0" w:firstRow="1" w:lastRow="0" w:firstColumn="1" w:lastColumn="0" w:noHBand="0" w:noVBand="1"/>
      </w:tblPr>
      <w:tblGrid>
        <w:gridCol w:w="10488"/>
      </w:tblGrid>
      <w:tr w:rsidR="00AF2C71" w14:paraId="60245978" w14:textId="77777777" w:rsidTr="00D424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8" w:type="dxa"/>
          </w:tcPr>
          <w:p w14:paraId="23612064" w14:textId="77777777" w:rsidR="00AF2C71" w:rsidRDefault="00AF2C71" w:rsidP="00AF2C71">
            <w:pPr>
              <w:pStyle w:val="NoSpacing"/>
            </w:pPr>
            <w:r w:rsidRPr="00777050">
              <w:rPr>
                <w:color w:val="auto"/>
              </w:rPr>
              <w:t xml:space="preserve">Sociálno-ekonomické ukazovatele:  </w:t>
            </w:r>
          </w:p>
        </w:tc>
      </w:tr>
    </w:tbl>
    <w:p w14:paraId="6D8932D3" w14:textId="77777777" w:rsidR="00BE5C8A" w:rsidRDefault="00BE5C8A" w:rsidP="00AF2C71">
      <w:pPr>
        <w:pStyle w:val="NoSpacing"/>
        <w:rPr>
          <w:sz w:val="10"/>
          <w:szCs w:val="10"/>
        </w:rPr>
      </w:pPr>
    </w:p>
    <w:p w14:paraId="50837F1F" w14:textId="77777777" w:rsidR="00ED0F48" w:rsidRDefault="00ED0F48" w:rsidP="00AF2C71">
      <w:pPr>
        <w:pStyle w:val="NoSpacing"/>
        <w:rPr>
          <w:sz w:val="10"/>
          <w:szCs w:val="10"/>
        </w:rPr>
      </w:pP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0"/>
        <w:gridCol w:w="5450"/>
      </w:tblGrid>
      <w:tr w:rsidR="00D4242D" w14:paraId="13A26EE2" w14:textId="77777777" w:rsidTr="00317D3A">
        <w:tc>
          <w:tcPr>
            <w:tcW w:w="5070" w:type="dxa"/>
          </w:tcPr>
          <w:p w14:paraId="7D72EB0E" w14:textId="7A2A6AE7" w:rsidR="00006583" w:rsidRDefault="00D4242D" w:rsidP="00006583">
            <w:pPr>
              <w:jc w:val="both"/>
              <w:rPr>
                <w:sz w:val="18"/>
                <w:szCs w:val="18"/>
              </w:rPr>
            </w:pPr>
            <w:r w:rsidRPr="00D4242D">
              <w:rPr>
                <w:b/>
                <w:sz w:val="20"/>
                <w:szCs w:val="20"/>
              </w:rPr>
              <w:t>Charakteristika</w:t>
            </w:r>
            <w:r w:rsidR="00006583">
              <w:rPr>
                <w:sz w:val="18"/>
                <w:szCs w:val="18"/>
              </w:rPr>
              <w:t>:</w:t>
            </w:r>
          </w:p>
          <w:p w14:paraId="5E08296F" w14:textId="0503F3B0" w:rsidR="008C1FAB" w:rsidRDefault="00006583" w:rsidP="00006583">
            <w:pPr>
              <w:jc w:val="both"/>
              <w:rPr>
                <w:sz w:val="18"/>
                <w:szCs w:val="18"/>
              </w:rPr>
            </w:pPr>
            <w:r w:rsidRPr="00DD7761">
              <w:rPr>
                <w:sz w:val="18"/>
                <w:szCs w:val="18"/>
              </w:rPr>
              <w:t xml:space="preserve">Miera evidovanej nezamestnanosti spolu je na úrovni </w:t>
            </w:r>
            <w:r w:rsidRPr="00DD7761">
              <w:rPr>
                <w:b/>
                <w:sz w:val="18"/>
                <w:szCs w:val="18"/>
              </w:rPr>
              <w:t>9,</w:t>
            </w:r>
            <w:r>
              <w:rPr>
                <w:b/>
                <w:sz w:val="18"/>
                <w:szCs w:val="18"/>
              </w:rPr>
              <w:t>44</w:t>
            </w:r>
            <w:r w:rsidRPr="00DD7761">
              <w:rPr>
                <w:b/>
                <w:sz w:val="18"/>
                <w:szCs w:val="18"/>
              </w:rPr>
              <w:t xml:space="preserve">% </w:t>
            </w:r>
            <w:r w:rsidRPr="00DD7761">
              <w:rPr>
                <w:sz w:val="18"/>
                <w:szCs w:val="18"/>
              </w:rPr>
              <w:t xml:space="preserve">(z toho muži </w:t>
            </w:r>
            <w:r>
              <w:rPr>
                <w:sz w:val="18"/>
                <w:szCs w:val="18"/>
              </w:rPr>
              <w:t>9,1</w:t>
            </w:r>
            <w:r w:rsidRPr="00DD7761">
              <w:rPr>
                <w:sz w:val="18"/>
                <w:szCs w:val="18"/>
              </w:rPr>
              <w:t xml:space="preserve">% a ženy </w:t>
            </w:r>
            <w:r>
              <w:rPr>
                <w:sz w:val="18"/>
                <w:szCs w:val="18"/>
              </w:rPr>
              <w:t>9,84</w:t>
            </w:r>
            <w:r w:rsidRPr="00DD7761">
              <w:rPr>
                <w:sz w:val="18"/>
                <w:szCs w:val="18"/>
              </w:rPr>
              <w:t>%) od roku 200</w:t>
            </w:r>
            <w:r w:rsidR="008C1FAB">
              <w:rPr>
                <w:sz w:val="18"/>
                <w:szCs w:val="18"/>
              </w:rPr>
              <w:t>5</w:t>
            </w:r>
            <w:r w:rsidRPr="00DD7761">
              <w:rPr>
                <w:sz w:val="18"/>
                <w:szCs w:val="18"/>
              </w:rPr>
              <w:t xml:space="preserve"> až do roku 200</w:t>
            </w:r>
            <w:r w:rsidR="008C1FAB">
              <w:rPr>
                <w:sz w:val="18"/>
                <w:szCs w:val="18"/>
              </w:rPr>
              <w:t>7</w:t>
            </w:r>
            <w:r w:rsidRPr="00DD7761">
              <w:rPr>
                <w:sz w:val="18"/>
                <w:szCs w:val="18"/>
              </w:rPr>
              <w:t xml:space="preserve"> mala klesajúcu tendenciu (rok 200</w:t>
            </w:r>
            <w:r w:rsidR="008C1FAB">
              <w:rPr>
                <w:sz w:val="18"/>
                <w:szCs w:val="18"/>
              </w:rPr>
              <w:t>7</w:t>
            </w:r>
            <w:r w:rsidRPr="00DD7761">
              <w:rPr>
                <w:sz w:val="18"/>
                <w:szCs w:val="18"/>
              </w:rPr>
              <w:t xml:space="preserve"> len </w:t>
            </w:r>
            <w:r w:rsidR="008C1FAB">
              <w:rPr>
                <w:sz w:val="18"/>
                <w:szCs w:val="18"/>
              </w:rPr>
              <w:t>3,73</w:t>
            </w:r>
            <w:r w:rsidRPr="00DD7761">
              <w:rPr>
                <w:sz w:val="18"/>
                <w:szCs w:val="18"/>
              </w:rPr>
              <w:t xml:space="preserve">%), potom však </w:t>
            </w:r>
            <w:r w:rsidR="008C1FAB">
              <w:rPr>
                <w:sz w:val="18"/>
                <w:szCs w:val="18"/>
              </w:rPr>
              <w:t>vykazuje už le</w:t>
            </w:r>
            <w:r w:rsidR="00ED0F48">
              <w:rPr>
                <w:sz w:val="18"/>
                <w:szCs w:val="18"/>
              </w:rPr>
              <w:t>n</w:t>
            </w:r>
            <w:r w:rsidR="008C1FAB">
              <w:rPr>
                <w:sz w:val="18"/>
                <w:szCs w:val="18"/>
              </w:rPr>
              <w:t xml:space="preserve"> stúpajúcu tendeniu</w:t>
            </w:r>
            <w:r w:rsidR="00ED0F48">
              <w:rPr>
                <w:sz w:val="18"/>
                <w:szCs w:val="18"/>
              </w:rPr>
              <w:t xml:space="preserve"> (mierny pokles v roku 2010)</w:t>
            </w:r>
            <w:r w:rsidR="008C1FAB">
              <w:rPr>
                <w:sz w:val="18"/>
                <w:szCs w:val="18"/>
              </w:rPr>
              <w:t>, pričom vrchol je práve sledovaný rok 2013</w:t>
            </w:r>
            <w:r w:rsidR="00ED0F48">
              <w:rPr>
                <w:sz w:val="18"/>
                <w:szCs w:val="18"/>
              </w:rPr>
              <w:t>, čo však neprekročilo hodnotu „priemeru SR“, ktorá bola v roku 2013 13,5%, no zároveň je vyššia ako priemer v TTSK, ktorý v roku 2013 dosiahol hodnotu 9,2%.</w:t>
            </w:r>
            <w:r w:rsidR="00900816">
              <w:rPr>
                <w:sz w:val="18"/>
                <w:szCs w:val="18"/>
              </w:rPr>
              <w:t xml:space="preserve"> </w:t>
            </w:r>
          </w:p>
          <w:p w14:paraId="5D8125E6" w14:textId="6D8573B8" w:rsidR="00541526" w:rsidRPr="00ED0F48" w:rsidRDefault="00006583" w:rsidP="00ED0F48">
            <w:pPr>
              <w:jc w:val="both"/>
              <w:rPr>
                <w:sz w:val="24"/>
                <w:szCs w:val="24"/>
              </w:rPr>
            </w:pPr>
            <w:r w:rsidRPr="00DD7761">
              <w:rPr>
                <w:sz w:val="18"/>
                <w:szCs w:val="18"/>
              </w:rPr>
              <w:t xml:space="preserve">Počet uchádzačov o zamestanie  oproti roku 2012 ( </w:t>
            </w:r>
            <w:r w:rsidR="00ED0F48">
              <w:rPr>
                <w:sz w:val="18"/>
                <w:szCs w:val="18"/>
              </w:rPr>
              <w:t>3242</w:t>
            </w:r>
            <w:r w:rsidRPr="00DD7761">
              <w:rPr>
                <w:sz w:val="18"/>
                <w:szCs w:val="18"/>
              </w:rPr>
              <w:t>) mierne poklesol – hodnota</w:t>
            </w:r>
            <w:r w:rsidR="00ED0F48">
              <w:rPr>
                <w:sz w:val="18"/>
                <w:szCs w:val="18"/>
              </w:rPr>
              <w:t xml:space="preserve"> v roku 2013 je</w:t>
            </w:r>
            <w:r w:rsidRPr="00DD7761">
              <w:rPr>
                <w:sz w:val="18"/>
                <w:szCs w:val="18"/>
              </w:rPr>
              <w:t xml:space="preserve"> </w:t>
            </w:r>
            <w:r w:rsidR="00ED0F48">
              <w:rPr>
                <w:sz w:val="18"/>
                <w:szCs w:val="18"/>
              </w:rPr>
              <w:t>3199</w:t>
            </w:r>
            <w:r w:rsidRPr="00DD7761">
              <w:rPr>
                <w:sz w:val="18"/>
                <w:szCs w:val="18"/>
              </w:rPr>
              <w:t xml:space="preserve"> uchádzačov o zamestnanie. Nezamestnanosť žien v okrese </w:t>
            </w:r>
            <w:r w:rsidR="00ED0F48">
              <w:rPr>
                <w:sz w:val="18"/>
                <w:szCs w:val="18"/>
              </w:rPr>
              <w:t>Piešťany</w:t>
            </w:r>
            <w:r w:rsidRPr="00DD7761">
              <w:rPr>
                <w:sz w:val="18"/>
                <w:szCs w:val="18"/>
              </w:rPr>
              <w:t xml:space="preserve"> v roku 2013 dosahovala hodnotu </w:t>
            </w:r>
            <w:r w:rsidR="00ED0F48">
              <w:rPr>
                <w:sz w:val="18"/>
                <w:szCs w:val="18"/>
              </w:rPr>
              <w:t>9,84</w:t>
            </w:r>
            <w:r w:rsidRPr="00DD7761">
              <w:rPr>
                <w:sz w:val="18"/>
                <w:szCs w:val="18"/>
              </w:rPr>
              <w:t xml:space="preserve">  a bola vždy počas sledovaného obdobia (2005-2013) vyššia</w:t>
            </w:r>
            <w:r w:rsidR="00ED0F48">
              <w:rPr>
                <w:sz w:val="18"/>
                <w:szCs w:val="18"/>
              </w:rPr>
              <w:t xml:space="preserve"> v porovnaní s nezamestnanosťou mužov</w:t>
            </w:r>
            <w:r w:rsidRPr="00DD7761">
              <w:rPr>
                <w:sz w:val="18"/>
                <w:szCs w:val="18"/>
              </w:rPr>
              <w:t>,</w:t>
            </w:r>
            <w:r w:rsidR="00ED0F48">
              <w:rPr>
                <w:sz w:val="18"/>
                <w:szCs w:val="18"/>
              </w:rPr>
              <w:t xml:space="preserve"> t.z.: že </w:t>
            </w:r>
            <w:r w:rsidRPr="00DD7761">
              <w:rPr>
                <w:sz w:val="18"/>
                <w:szCs w:val="18"/>
              </w:rPr>
              <w:t>nikdy neklesla pod sledovanú hodnotu u mužov,</w:t>
            </w:r>
            <w:r w:rsidR="00900816">
              <w:rPr>
                <w:sz w:val="18"/>
                <w:szCs w:val="18"/>
              </w:rPr>
              <w:t xml:space="preserve"> no a </w:t>
            </w:r>
            <w:r w:rsidRPr="00DD7761">
              <w:rPr>
                <w:sz w:val="18"/>
                <w:szCs w:val="18"/>
              </w:rPr>
              <w:t xml:space="preserve">najvyššiu hodnotu dosiahla </w:t>
            </w:r>
            <w:r w:rsidR="00ED0F48">
              <w:rPr>
                <w:sz w:val="18"/>
                <w:szCs w:val="18"/>
              </w:rPr>
              <w:t>práve v predmetnom sledovanom roku 2013</w:t>
            </w:r>
            <w:r w:rsidRPr="00DD7761">
              <w:rPr>
                <w:sz w:val="18"/>
                <w:szCs w:val="18"/>
              </w:rPr>
              <w:t xml:space="preserve">. Priemerná hrubá  nominálna mzda zamestnanca v Trnavskom kraji dosiahla  v roku 2013 takmer 860 €, v porovnaní so SR je o 52 € nižšia (912€), no a  v okrese </w:t>
            </w:r>
            <w:r w:rsidR="00ED0F48">
              <w:rPr>
                <w:sz w:val="18"/>
                <w:szCs w:val="18"/>
              </w:rPr>
              <w:t>Piešťany</w:t>
            </w:r>
            <w:r w:rsidRPr="00DD7761">
              <w:rPr>
                <w:sz w:val="18"/>
                <w:szCs w:val="18"/>
              </w:rPr>
              <w:t xml:space="preserve">  evidujeme „priemernú nominálnu mesačnú mzdu zamestnanca“ v celkovej výške 8</w:t>
            </w:r>
            <w:r w:rsidR="00ED0F48">
              <w:rPr>
                <w:sz w:val="18"/>
                <w:szCs w:val="18"/>
              </w:rPr>
              <w:t>00</w:t>
            </w:r>
            <w:r w:rsidRPr="00DD7761">
              <w:rPr>
                <w:sz w:val="18"/>
                <w:szCs w:val="18"/>
              </w:rPr>
              <w:t>€, čo predstavuje oproti</w:t>
            </w:r>
            <w:r w:rsidRPr="00DD7761">
              <w:rPr>
                <w:sz w:val="24"/>
                <w:szCs w:val="24"/>
              </w:rPr>
              <w:t xml:space="preserve"> </w:t>
            </w:r>
            <w:r w:rsidRPr="00DD7761">
              <w:rPr>
                <w:sz w:val="18"/>
                <w:szCs w:val="18"/>
              </w:rPr>
              <w:t xml:space="preserve">roku 2012 </w:t>
            </w:r>
            <w:r w:rsidR="00ED0F48">
              <w:rPr>
                <w:sz w:val="18"/>
                <w:szCs w:val="18"/>
              </w:rPr>
              <w:t>nárast o 50</w:t>
            </w:r>
            <w:r w:rsidR="00ED0F48" w:rsidRPr="00DD7761">
              <w:rPr>
                <w:sz w:val="18"/>
                <w:szCs w:val="18"/>
              </w:rPr>
              <w:t>€</w:t>
            </w:r>
            <w:r w:rsidRPr="00DD7761">
              <w:rPr>
                <w:sz w:val="18"/>
                <w:szCs w:val="18"/>
              </w:rPr>
              <w:t xml:space="preserve"> (rok 2012</w:t>
            </w:r>
            <w:r w:rsidR="00BD7398">
              <w:rPr>
                <w:sz w:val="18"/>
                <w:szCs w:val="18"/>
              </w:rPr>
              <w:t>:</w:t>
            </w:r>
            <w:r w:rsidRPr="00DD7761">
              <w:rPr>
                <w:sz w:val="18"/>
                <w:szCs w:val="18"/>
              </w:rPr>
              <w:t xml:space="preserve"> </w:t>
            </w:r>
            <w:r w:rsidR="00ED0F48">
              <w:rPr>
                <w:sz w:val="18"/>
                <w:szCs w:val="18"/>
              </w:rPr>
              <w:t>750</w:t>
            </w:r>
            <w:r w:rsidRPr="00DD7761">
              <w:rPr>
                <w:sz w:val="18"/>
                <w:szCs w:val="18"/>
              </w:rPr>
              <w:t>€).</w:t>
            </w:r>
          </w:p>
          <w:p w14:paraId="3E97C3F8" w14:textId="77777777" w:rsidR="00541526" w:rsidRPr="00541526" w:rsidRDefault="00541526" w:rsidP="00AF2C7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450" w:type="dxa"/>
          </w:tcPr>
          <w:p w14:paraId="5F45CBA5" w14:textId="77777777" w:rsidR="00D4242D" w:rsidRPr="006E3332" w:rsidRDefault="000E70D2" w:rsidP="00AF2C71">
            <w:pPr>
              <w:pStyle w:val="NoSpacing"/>
              <w:rPr>
                <w:sz w:val="16"/>
                <w:szCs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46EAFA6" wp14:editId="35556130">
                  <wp:extent cx="3352799" cy="1709738"/>
                  <wp:effectExtent l="0" t="0" r="19685" b="2413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</w:tbl>
    <w:p w14:paraId="598483D4" w14:textId="77777777" w:rsidR="00D4242D" w:rsidRDefault="00D4242D" w:rsidP="00AF2C71">
      <w:pPr>
        <w:pStyle w:val="NoSpacing"/>
        <w:rPr>
          <w:sz w:val="10"/>
          <w:szCs w:val="10"/>
        </w:rPr>
      </w:pPr>
    </w:p>
    <w:p w14:paraId="456861FA" w14:textId="77777777" w:rsidR="00ED0F48" w:rsidRPr="004E4E18" w:rsidRDefault="00ED0F48" w:rsidP="00AF2C71">
      <w:pPr>
        <w:pStyle w:val="NoSpacing"/>
        <w:rPr>
          <w:sz w:val="10"/>
          <w:szCs w:val="10"/>
        </w:rPr>
      </w:pP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0"/>
        <w:gridCol w:w="5420"/>
      </w:tblGrid>
      <w:tr w:rsidR="00A43DBE" w14:paraId="21A37AF6" w14:textId="77777777" w:rsidTr="002D36B6">
        <w:tc>
          <w:tcPr>
            <w:tcW w:w="5070" w:type="dxa"/>
          </w:tcPr>
          <w:p w14:paraId="78A6958A" w14:textId="61BB678B" w:rsidR="00A43DBE" w:rsidRDefault="00A43DBE" w:rsidP="00A75DEA">
            <w:pPr>
              <w:rPr>
                <w:sz w:val="20"/>
                <w:szCs w:val="20"/>
              </w:rPr>
            </w:pPr>
            <w:r w:rsidRPr="00541526">
              <w:rPr>
                <w:b/>
                <w:sz w:val="20"/>
                <w:szCs w:val="20"/>
              </w:rPr>
              <w:t>PZI:</w:t>
            </w:r>
            <w:r w:rsidRPr="00541526">
              <w:rPr>
                <w:sz w:val="20"/>
                <w:szCs w:val="20"/>
              </w:rPr>
              <w:t xml:space="preserve"> </w:t>
            </w:r>
          </w:p>
          <w:p w14:paraId="6A18DEB8" w14:textId="2C99135D" w:rsidR="005B5437" w:rsidRPr="00DD7761" w:rsidRDefault="005B5437" w:rsidP="005B5437">
            <w:pPr>
              <w:jc w:val="both"/>
              <w:rPr>
                <w:sz w:val="18"/>
                <w:szCs w:val="18"/>
              </w:rPr>
            </w:pPr>
            <w:r w:rsidRPr="00DD7761">
              <w:rPr>
                <w:sz w:val="18"/>
                <w:szCs w:val="18"/>
              </w:rPr>
              <w:t xml:space="preserve">Priame zahraničné investície </w:t>
            </w:r>
            <w:r>
              <w:rPr>
                <w:sz w:val="18"/>
                <w:szCs w:val="18"/>
              </w:rPr>
              <w:t xml:space="preserve">mdzi rokmi 2006-2008 </w:t>
            </w:r>
            <w:r w:rsidRPr="00DD7761">
              <w:rPr>
                <w:sz w:val="18"/>
                <w:szCs w:val="18"/>
              </w:rPr>
              <w:t xml:space="preserve"> rást</w:t>
            </w:r>
            <w:r>
              <w:rPr>
                <w:sz w:val="18"/>
                <w:szCs w:val="18"/>
              </w:rPr>
              <w:t>li, rovnako aj PZI na obyvateľa, roky 2009-2010 zaznamenavajú pokles,  avšak roky 2011-2012 sa vyznačujú opäť n</w:t>
            </w:r>
            <w:r w:rsidR="000B1E9A">
              <w:rPr>
                <w:sz w:val="18"/>
                <w:szCs w:val="18"/>
              </w:rPr>
              <w:t xml:space="preserve">árastom predmetného ukazovateľa, pričom hodnota PZI na obyv. v </w:t>
            </w:r>
            <w:r w:rsidR="000B1E9A" w:rsidRPr="00DD7761">
              <w:rPr>
                <w:sz w:val="18"/>
                <w:szCs w:val="18"/>
              </w:rPr>
              <w:t>€</w:t>
            </w:r>
            <w:r w:rsidR="000B1E9A">
              <w:rPr>
                <w:sz w:val="18"/>
                <w:szCs w:val="18"/>
              </w:rPr>
              <w:t xml:space="preserve"> v r. 2012 dosiahla hodnotu 4094.</w:t>
            </w:r>
          </w:p>
          <w:p w14:paraId="572516E1" w14:textId="77777777" w:rsidR="005B5437" w:rsidRPr="00DD7761" w:rsidRDefault="005B5437" w:rsidP="005B5437">
            <w:pPr>
              <w:jc w:val="both"/>
              <w:rPr>
                <w:sz w:val="18"/>
                <w:szCs w:val="18"/>
              </w:rPr>
            </w:pPr>
            <w:r w:rsidRPr="00DD7761">
              <w:rPr>
                <w:sz w:val="18"/>
                <w:szCs w:val="18"/>
              </w:rPr>
              <w:t>Pri porovnaní „prílevu a odlevu“ PZI v rámci SR a Trnavského kraja možno konštatovať nasledovné: „prílev  PZI“  pre SR v rámci 1Q-4Q 2013* /v tis. EUR/ spolu 670 013 (podniková sféra 120 666, banková sféra 549 347), Trnavský kraj 110 984.  „Odlev  PZI“  pre SR v rámci 1Q-4Q 2013 /v tis. EUR/ spolu 47 969 (podniková sféra 48 033, banková sféra -64), Trnavský kraj -7 072.</w:t>
            </w:r>
          </w:p>
          <w:p w14:paraId="7AB56069" w14:textId="07889C3F" w:rsidR="00541526" w:rsidRPr="001075EC" w:rsidRDefault="005B5437" w:rsidP="00A75DEA">
            <w:pPr>
              <w:rPr>
                <w:sz w:val="16"/>
                <w:szCs w:val="16"/>
              </w:rPr>
            </w:pPr>
            <w:r w:rsidRPr="001075EC">
              <w:rPr>
                <w:sz w:val="16"/>
                <w:szCs w:val="16"/>
              </w:rPr>
              <w:t>*predbežné údaje k 27.12.2014</w:t>
            </w:r>
          </w:p>
          <w:p w14:paraId="1B40899E" w14:textId="77777777" w:rsidR="00A43DBE" w:rsidRPr="00541526" w:rsidRDefault="00A43DBE" w:rsidP="00A75DEA">
            <w:pPr>
              <w:rPr>
                <w:sz w:val="20"/>
                <w:szCs w:val="20"/>
              </w:rPr>
            </w:pPr>
          </w:p>
        </w:tc>
        <w:tc>
          <w:tcPr>
            <w:tcW w:w="5418" w:type="dxa"/>
          </w:tcPr>
          <w:p w14:paraId="15EC346A" w14:textId="77777777" w:rsidR="00A43DBE" w:rsidRPr="006A07B7" w:rsidRDefault="002D36B6" w:rsidP="00A75DEA">
            <w:pPr>
              <w:rPr>
                <w:sz w:val="16"/>
                <w:szCs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77E438F" wp14:editId="31F2859D">
                  <wp:extent cx="3343275" cy="1690688"/>
                  <wp:effectExtent l="0" t="0" r="9525" b="24130"/>
                  <wp:docPr id="3" name="Graf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</w:tbl>
    <w:p w14:paraId="17B0E88A" w14:textId="77777777" w:rsidR="00AF2C71" w:rsidRDefault="00AF2C71" w:rsidP="00A43DBE">
      <w:pPr>
        <w:pStyle w:val="NoSpacing"/>
        <w:rPr>
          <w:sz w:val="10"/>
          <w:szCs w:val="10"/>
        </w:rPr>
      </w:pPr>
    </w:p>
    <w:p w14:paraId="268A7592" w14:textId="77777777" w:rsidR="00ED0F48" w:rsidRDefault="00ED0F48" w:rsidP="00A43DBE">
      <w:pPr>
        <w:pStyle w:val="NoSpacing"/>
        <w:rPr>
          <w:sz w:val="10"/>
          <w:szCs w:val="10"/>
        </w:rPr>
      </w:pPr>
    </w:p>
    <w:p w14:paraId="28CD2447" w14:textId="77777777" w:rsidR="00ED0F48" w:rsidRPr="00541526" w:rsidRDefault="00ED0F48" w:rsidP="00A43DBE">
      <w:pPr>
        <w:pStyle w:val="NoSpacing"/>
        <w:rPr>
          <w:sz w:val="10"/>
          <w:szCs w:val="10"/>
        </w:rPr>
      </w:pPr>
    </w:p>
    <w:tbl>
      <w:tblPr>
        <w:tblStyle w:val="TableGrid"/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0"/>
        <w:gridCol w:w="5456"/>
      </w:tblGrid>
      <w:tr w:rsidR="00A43DBE" w14:paraId="73082E7A" w14:textId="77777777" w:rsidTr="002D36B6">
        <w:tc>
          <w:tcPr>
            <w:tcW w:w="5070" w:type="dxa"/>
          </w:tcPr>
          <w:p w14:paraId="6442CD13" w14:textId="1EDEDEFA" w:rsidR="009A2119" w:rsidRDefault="009A2119" w:rsidP="009A2119">
            <w:pPr>
              <w:pStyle w:val="NoSpacing"/>
              <w:jc w:val="both"/>
              <w:rPr>
                <w:sz w:val="18"/>
                <w:szCs w:val="18"/>
              </w:rPr>
            </w:pPr>
            <w:r w:rsidRPr="00644836">
              <w:rPr>
                <w:sz w:val="18"/>
                <w:szCs w:val="18"/>
              </w:rPr>
              <w:lastRenderedPageBreak/>
              <w:t>Štruktúra podnikateľského prostredia</w:t>
            </w:r>
            <w:r w:rsidR="001075EC">
              <w:rPr>
                <w:sz w:val="18"/>
                <w:szCs w:val="18"/>
              </w:rPr>
              <w:t xml:space="preserve"> </w:t>
            </w:r>
            <w:r w:rsidRPr="00644836">
              <w:rPr>
                <w:sz w:val="18"/>
                <w:szCs w:val="18"/>
              </w:rPr>
              <w:t xml:space="preserve">v okrese </w:t>
            </w:r>
            <w:r>
              <w:rPr>
                <w:sz w:val="18"/>
                <w:szCs w:val="18"/>
              </w:rPr>
              <w:t>Piešťany</w:t>
            </w:r>
            <w:r w:rsidRPr="00644836">
              <w:rPr>
                <w:sz w:val="18"/>
                <w:szCs w:val="18"/>
              </w:rPr>
              <w:t xml:space="preserve"> v roku 2013 je nasledovná: najviac je zastúpený sektor </w:t>
            </w:r>
            <w:r>
              <w:rPr>
                <w:sz w:val="18"/>
                <w:szCs w:val="18"/>
              </w:rPr>
              <w:t>„obchod a doprava“</w:t>
            </w:r>
            <w:r w:rsidRPr="00644836">
              <w:rPr>
                <w:sz w:val="18"/>
                <w:szCs w:val="18"/>
              </w:rPr>
              <w:t xml:space="preserve"> v celkovom počte </w:t>
            </w:r>
            <w:r>
              <w:rPr>
                <w:sz w:val="18"/>
                <w:szCs w:val="18"/>
              </w:rPr>
              <w:t>735</w:t>
            </w:r>
            <w:r w:rsidRPr="00644836">
              <w:rPr>
                <w:sz w:val="18"/>
                <w:szCs w:val="18"/>
              </w:rPr>
              <w:t xml:space="preserve"> podnikov, za ním nasleduje sektor priemyselný a stavebníctvo, pričom najmenšie zastúpenie v štruktúre podnikateľského prostredia predstavujú </w:t>
            </w:r>
            <w:r>
              <w:rPr>
                <w:sz w:val="18"/>
                <w:szCs w:val="18"/>
              </w:rPr>
              <w:t>„</w:t>
            </w:r>
            <w:r w:rsidRPr="00644836">
              <w:rPr>
                <w:sz w:val="18"/>
                <w:szCs w:val="18"/>
              </w:rPr>
              <w:t>ostatné služby</w:t>
            </w:r>
            <w:r>
              <w:rPr>
                <w:sz w:val="18"/>
                <w:szCs w:val="18"/>
              </w:rPr>
              <w:t>“</w:t>
            </w:r>
            <w:r w:rsidRPr="00644836">
              <w:rPr>
                <w:sz w:val="18"/>
                <w:szCs w:val="18"/>
              </w:rPr>
              <w:t xml:space="preserve"> s celkovým počtom </w:t>
            </w:r>
            <w:r w:rsidR="00973520">
              <w:rPr>
                <w:sz w:val="18"/>
                <w:szCs w:val="18"/>
              </w:rPr>
              <w:t>26</w:t>
            </w:r>
            <w:r w:rsidRPr="00644836">
              <w:rPr>
                <w:sz w:val="18"/>
                <w:szCs w:val="18"/>
              </w:rPr>
              <w:t>.</w:t>
            </w:r>
          </w:p>
          <w:p w14:paraId="671CD83D" w14:textId="4FC2E2B0" w:rsidR="001075EC" w:rsidRPr="00644836" w:rsidRDefault="001075EC" w:rsidP="009A2119">
            <w:pPr>
              <w:pStyle w:val="NoSpacing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 roku 2005 až do roku 2013 zaznamenávam rastúcu tendenciu  v „organizačnej štruktúre hospodárstva“ – sféra „podniky“, t.z. kým roku 2005 bola hodnota počtu podnikov na úrovni 1216, v roku 2013 to už bol takmer dvojnásobok,  teda hodnota 2314 podnikov. Avšak pri „organizačnej štruktúre hospodárstva“ – sféra „fyzické osoby - podnikatelia“ nárast zaznamenavame len v intervale rokoch 2005-</w:t>
            </w:r>
            <w:r w:rsidR="00F90297">
              <w:rPr>
                <w:sz w:val="18"/>
                <w:szCs w:val="18"/>
              </w:rPr>
              <w:t>2008. Rok 2008 je vrcholom – kedy počet dosiahol hodnotu 4880, ktorá nasledovné roky klesala až k hodnote 4265 v roku 2013.</w:t>
            </w:r>
          </w:p>
          <w:p w14:paraId="3B3F9029" w14:textId="77777777" w:rsidR="00027E1F" w:rsidRDefault="00027E1F" w:rsidP="00513D28">
            <w:pPr>
              <w:pStyle w:val="NoSpacing"/>
              <w:rPr>
                <w:sz w:val="20"/>
                <w:szCs w:val="20"/>
              </w:rPr>
            </w:pPr>
          </w:p>
          <w:p w14:paraId="5FCACC6E" w14:textId="60893B56" w:rsidR="00A43DBE" w:rsidRPr="00513D28" w:rsidRDefault="00A43DBE" w:rsidP="00513D2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456" w:type="dxa"/>
          </w:tcPr>
          <w:p w14:paraId="021176D3" w14:textId="36F921C3" w:rsidR="00A43DBE" w:rsidRPr="003A74C9" w:rsidRDefault="00D9179A" w:rsidP="00A43DBE">
            <w:pPr>
              <w:pStyle w:val="NoSpacing"/>
              <w:rPr>
                <w:sz w:val="16"/>
                <w:szCs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E90FE13" wp14:editId="2CF4EE43">
                  <wp:extent cx="3432175" cy="1714190"/>
                  <wp:effectExtent l="0" t="0" r="22225" b="13335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1BEBF683" w14:textId="77777777" w:rsidR="00A43DBE" w:rsidRPr="00777050" w:rsidRDefault="00A43DBE" w:rsidP="00A43DBE">
      <w:pPr>
        <w:pStyle w:val="NoSpacing"/>
        <w:rPr>
          <w:sz w:val="10"/>
          <w:szCs w:val="10"/>
        </w:rPr>
      </w:pP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10488"/>
      </w:tblGrid>
      <w:tr w:rsidR="00AF16FA" w14:paraId="6D0967F3" w14:textId="77777777" w:rsidTr="007770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8" w:type="dxa"/>
          </w:tcPr>
          <w:p w14:paraId="465CB144" w14:textId="77777777" w:rsidR="00AF16FA" w:rsidRDefault="00AF16FA" w:rsidP="00AF16FA">
            <w:pPr>
              <w:pStyle w:val="NoSpacing"/>
            </w:pPr>
            <w:r w:rsidRPr="00777050">
              <w:rPr>
                <w:color w:val="auto"/>
              </w:rPr>
              <w:t xml:space="preserve">Životné prostredie: </w:t>
            </w:r>
          </w:p>
        </w:tc>
      </w:tr>
    </w:tbl>
    <w:p w14:paraId="1CE5C4D9" w14:textId="77777777" w:rsidR="00AF16FA" w:rsidRPr="00777050" w:rsidRDefault="00AF16FA" w:rsidP="00A43DBE">
      <w:pPr>
        <w:pStyle w:val="NoSpacing"/>
        <w:rPr>
          <w:sz w:val="10"/>
          <w:szCs w:val="10"/>
        </w:rPr>
      </w:pP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0"/>
        <w:gridCol w:w="5420"/>
      </w:tblGrid>
      <w:tr w:rsidR="00777050" w14:paraId="01A09CD4" w14:textId="77777777" w:rsidTr="004B37B8">
        <w:tc>
          <w:tcPr>
            <w:tcW w:w="5070" w:type="dxa"/>
          </w:tcPr>
          <w:p w14:paraId="5F6ECB42" w14:textId="2AE20536" w:rsidR="003C550A" w:rsidRDefault="003C550A" w:rsidP="003C550A">
            <w:pPr>
              <w:jc w:val="both"/>
              <w:rPr>
                <w:sz w:val="18"/>
                <w:szCs w:val="18"/>
              </w:rPr>
            </w:pPr>
            <w:r w:rsidRPr="00DD7761">
              <w:rPr>
                <w:sz w:val="18"/>
                <w:szCs w:val="18"/>
              </w:rPr>
              <w:t xml:space="preserve">Množstvo </w:t>
            </w:r>
            <w:r w:rsidR="00053F14" w:rsidRPr="00775B67">
              <w:rPr>
                <w:i/>
                <w:sz w:val="18"/>
                <w:szCs w:val="18"/>
              </w:rPr>
              <w:t>„</w:t>
            </w:r>
            <w:r w:rsidRPr="00775B67">
              <w:rPr>
                <w:i/>
                <w:sz w:val="18"/>
                <w:szCs w:val="18"/>
              </w:rPr>
              <w:t>komunálneho odpadu (kg/obyv.)</w:t>
            </w:r>
            <w:r w:rsidR="00053F14" w:rsidRPr="00775B67">
              <w:rPr>
                <w:i/>
                <w:sz w:val="18"/>
                <w:szCs w:val="18"/>
              </w:rPr>
              <w:t>“</w:t>
            </w:r>
            <w:r w:rsidRPr="00DD7761">
              <w:rPr>
                <w:sz w:val="18"/>
                <w:szCs w:val="18"/>
              </w:rPr>
              <w:t xml:space="preserve"> v sledovanom období </w:t>
            </w:r>
            <w:r w:rsidR="00775B67">
              <w:rPr>
                <w:sz w:val="18"/>
                <w:szCs w:val="18"/>
              </w:rPr>
              <w:t>v rokoch 2007-2013</w:t>
            </w:r>
            <w:r w:rsidRPr="00DD7761">
              <w:rPr>
                <w:sz w:val="18"/>
                <w:szCs w:val="18"/>
              </w:rPr>
              <w:t xml:space="preserve"> </w:t>
            </w:r>
            <w:r w:rsidR="00775B67">
              <w:rPr>
                <w:sz w:val="18"/>
                <w:szCs w:val="18"/>
              </w:rPr>
              <w:t xml:space="preserve">malo striedavo klesajúce a rastúce hodnoty, pričom v roku 2008 </w:t>
            </w:r>
            <w:r>
              <w:rPr>
                <w:sz w:val="18"/>
                <w:szCs w:val="18"/>
              </w:rPr>
              <w:t>jeho</w:t>
            </w:r>
            <w:r w:rsidR="00775B67">
              <w:rPr>
                <w:sz w:val="18"/>
                <w:szCs w:val="18"/>
              </w:rPr>
              <w:t xml:space="preserve"> hodnota predstavovala vrchol, t.z.: 461,18 kg/obyv. Roky 2011-2013 sú poznačené poklesom množstva KO (kg/obyv.), pričom v roku 2013 dosiahla hodnota hranicu 429,3 kg/obyv.</w:t>
            </w:r>
            <w:bookmarkStart w:id="0" w:name="_GoBack"/>
            <w:bookmarkEnd w:id="0"/>
          </w:p>
          <w:p w14:paraId="1CA31E49" w14:textId="2BF9D025" w:rsidR="003C550A" w:rsidRPr="00DD7761" w:rsidRDefault="003C550A" w:rsidP="003C550A">
            <w:pPr>
              <w:jc w:val="both"/>
              <w:rPr>
                <w:sz w:val="18"/>
                <w:szCs w:val="18"/>
              </w:rPr>
            </w:pPr>
            <w:r w:rsidRPr="00DD7761">
              <w:rPr>
                <w:sz w:val="18"/>
                <w:szCs w:val="18"/>
              </w:rPr>
              <w:t xml:space="preserve">Množstvo </w:t>
            </w:r>
            <w:r w:rsidR="00775B67">
              <w:rPr>
                <w:sz w:val="18"/>
                <w:szCs w:val="18"/>
              </w:rPr>
              <w:t>"</w:t>
            </w:r>
            <w:r w:rsidRPr="00053F14">
              <w:rPr>
                <w:i/>
                <w:sz w:val="18"/>
                <w:szCs w:val="18"/>
              </w:rPr>
              <w:t>zhodnoteného komunálneho odpadu</w:t>
            </w:r>
            <w:r w:rsidR="00775B67">
              <w:rPr>
                <w:i/>
                <w:sz w:val="18"/>
                <w:szCs w:val="18"/>
              </w:rPr>
              <w:t xml:space="preserve"> (kg/obyv.)</w:t>
            </w:r>
            <w:r w:rsidRPr="00DD7761">
              <w:rPr>
                <w:sz w:val="18"/>
                <w:szCs w:val="18"/>
              </w:rPr>
              <w:t xml:space="preserve"> rapídne vzrástlo  medzi rokmi 200</w:t>
            </w:r>
            <w:r>
              <w:rPr>
                <w:sz w:val="18"/>
                <w:szCs w:val="18"/>
              </w:rPr>
              <w:t>8</w:t>
            </w:r>
            <w:r w:rsidRPr="00DD7761">
              <w:rPr>
                <w:sz w:val="18"/>
                <w:szCs w:val="18"/>
              </w:rPr>
              <w:t>-200</w:t>
            </w:r>
            <w:r>
              <w:rPr>
                <w:sz w:val="18"/>
                <w:szCs w:val="18"/>
              </w:rPr>
              <w:t>9</w:t>
            </w:r>
            <w:r w:rsidRPr="00DD7761">
              <w:rPr>
                <w:sz w:val="18"/>
                <w:szCs w:val="18"/>
              </w:rPr>
              <w:t>, kým v roku 200</w:t>
            </w:r>
            <w:r>
              <w:rPr>
                <w:sz w:val="18"/>
                <w:szCs w:val="18"/>
              </w:rPr>
              <w:t>8</w:t>
            </w:r>
            <w:r w:rsidRPr="00DD7761">
              <w:rPr>
                <w:sz w:val="18"/>
                <w:szCs w:val="18"/>
              </w:rPr>
              <w:t xml:space="preserve"> jeho hodnota bola </w:t>
            </w:r>
            <w:r>
              <w:rPr>
                <w:sz w:val="18"/>
                <w:szCs w:val="18"/>
              </w:rPr>
              <w:t>28,78</w:t>
            </w:r>
            <w:r w:rsidRPr="00DD7761">
              <w:rPr>
                <w:sz w:val="18"/>
                <w:szCs w:val="18"/>
              </w:rPr>
              <w:t xml:space="preserve"> v roku 200</w:t>
            </w:r>
            <w:r>
              <w:rPr>
                <w:sz w:val="18"/>
                <w:szCs w:val="18"/>
              </w:rPr>
              <w:t>9</w:t>
            </w:r>
            <w:r w:rsidRPr="00DD7761">
              <w:rPr>
                <w:sz w:val="18"/>
                <w:szCs w:val="18"/>
              </w:rPr>
              <w:t xml:space="preserve"> už </w:t>
            </w:r>
            <w:r>
              <w:rPr>
                <w:sz w:val="18"/>
                <w:szCs w:val="18"/>
              </w:rPr>
              <w:t>118,12</w:t>
            </w:r>
            <w:r w:rsidRPr="00DD7761">
              <w:rPr>
                <w:sz w:val="18"/>
                <w:szCs w:val="18"/>
              </w:rPr>
              <w:t xml:space="preserve"> </w:t>
            </w:r>
            <w:r w:rsidR="00775B67">
              <w:rPr>
                <w:sz w:val="18"/>
                <w:szCs w:val="18"/>
              </w:rPr>
              <w:t xml:space="preserve">kg/obyv., </w:t>
            </w:r>
            <w:r w:rsidRPr="00DD7761">
              <w:rPr>
                <w:sz w:val="18"/>
                <w:szCs w:val="18"/>
              </w:rPr>
              <w:t>avšak možno poznamenať, že v sledovanom období (rok 2013) zaznamenavame mierny pokles</w:t>
            </w:r>
            <w:r w:rsidR="00775B67">
              <w:rPr>
                <w:sz w:val="18"/>
                <w:szCs w:val="18"/>
              </w:rPr>
              <w:t xml:space="preserve"> v porovnaní s rokmi 2010-2012</w:t>
            </w:r>
            <w:r w:rsidRPr="00DD7761">
              <w:rPr>
                <w:sz w:val="18"/>
                <w:szCs w:val="18"/>
              </w:rPr>
              <w:t xml:space="preserve">, pričom hodnota dosiahla hranicu </w:t>
            </w:r>
            <w:r>
              <w:rPr>
                <w:sz w:val="18"/>
                <w:szCs w:val="18"/>
              </w:rPr>
              <w:t>119,1</w:t>
            </w:r>
            <w:r w:rsidRPr="00DD7761">
              <w:rPr>
                <w:sz w:val="18"/>
                <w:szCs w:val="18"/>
              </w:rPr>
              <w:t xml:space="preserve"> (kg/obyv.), čo predstavuje percentuálnu hodnotu </w:t>
            </w:r>
            <w:r>
              <w:rPr>
                <w:sz w:val="18"/>
                <w:szCs w:val="18"/>
              </w:rPr>
              <w:t>27,7</w:t>
            </w:r>
            <w:r w:rsidRPr="00DD7761">
              <w:rPr>
                <w:sz w:val="18"/>
                <w:szCs w:val="18"/>
              </w:rPr>
              <w:t>%.</w:t>
            </w:r>
          </w:p>
          <w:p w14:paraId="3FEC5BE1" w14:textId="77777777" w:rsidR="00497F1B" w:rsidRDefault="00497F1B" w:rsidP="00A43DBE">
            <w:pPr>
              <w:pStyle w:val="NoSpacing"/>
              <w:rPr>
                <w:sz w:val="20"/>
                <w:szCs w:val="20"/>
              </w:rPr>
            </w:pPr>
          </w:p>
          <w:p w14:paraId="698DA166" w14:textId="77777777" w:rsidR="00497F1B" w:rsidRDefault="00497F1B" w:rsidP="00A43DBE">
            <w:pPr>
              <w:pStyle w:val="NoSpacing"/>
              <w:rPr>
                <w:sz w:val="20"/>
                <w:szCs w:val="20"/>
              </w:rPr>
            </w:pPr>
          </w:p>
          <w:p w14:paraId="7975BE03" w14:textId="77777777" w:rsidR="00497F1B" w:rsidRDefault="00497F1B" w:rsidP="00A43DBE">
            <w:pPr>
              <w:pStyle w:val="NoSpacing"/>
              <w:rPr>
                <w:sz w:val="20"/>
                <w:szCs w:val="20"/>
              </w:rPr>
            </w:pPr>
          </w:p>
          <w:p w14:paraId="350771E0" w14:textId="77777777" w:rsidR="00497F1B" w:rsidRDefault="00497F1B" w:rsidP="00A43DBE">
            <w:pPr>
              <w:pStyle w:val="NoSpacing"/>
              <w:rPr>
                <w:sz w:val="20"/>
                <w:szCs w:val="20"/>
              </w:rPr>
            </w:pPr>
          </w:p>
          <w:p w14:paraId="21A9E16D" w14:textId="77777777" w:rsidR="00497F1B" w:rsidRPr="00777050" w:rsidRDefault="00497F1B" w:rsidP="00A43DB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418" w:type="dxa"/>
          </w:tcPr>
          <w:p w14:paraId="0D39E8B2" w14:textId="77777777" w:rsidR="00777050" w:rsidRPr="00777050" w:rsidRDefault="004B37B8" w:rsidP="00A43DBE">
            <w:pPr>
              <w:pStyle w:val="NoSpacing"/>
              <w:rPr>
                <w:sz w:val="16"/>
                <w:szCs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04CE16A" wp14:editId="00708BA2">
                  <wp:extent cx="3343275" cy="1685925"/>
                  <wp:effectExtent l="0" t="0" r="9525" b="9525"/>
                  <wp:docPr id="4" name="Graf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</w:tbl>
    <w:p w14:paraId="09AD3248" w14:textId="77777777" w:rsidR="00777050" w:rsidRDefault="00777050" w:rsidP="004E4E18">
      <w:pPr>
        <w:pStyle w:val="NoSpacing"/>
      </w:pPr>
    </w:p>
    <w:sectPr w:rsidR="00777050" w:rsidSect="004E4E18">
      <w:pgSz w:w="11906" w:h="16838"/>
      <w:pgMar w:top="851" w:right="84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EA"/>
    <w:rsid w:val="00006583"/>
    <w:rsid w:val="00027E1F"/>
    <w:rsid w:val="00046C7C"/>
    <w:rsid w:val="00053F14"/>
    <w:rsid w:val="00057ACF"/>
    <w:rsid w:val="000A4F62"/>
    <w:rsid w:val="000B1E9A"/>
    <w:rsid w:val="000E70D2"/>
    <w:rsid w:val="001075EC"/>
    <w:rsid w:val="001A0B4D"/>
    <w:rsid w:val="001B3EC5"/>
    <w:rsid w:val="001D62A9"/>
    <w:rsid w:val="001E6ADD"/>
    <w:rsid w:val="002510DD"/>
    <w:rsid w:val="00254CE1"/>
    <w:rsid w:val="0027296B"/>
    <w:rsid w:val="00273DF6"/>
    <w:rsid w:val="00277764"/>
    <w:rsid w:val="00294E6C"/>
    <w:rsid w:val="002A329B"/>
    <w:rsid w:val="002D36B6"/>
    <w:rsid w:val="002D5538"/>
    <w:rsid w:val="002E37D7"/>
    <w:rsid w:val="002F12DB"/>
    <w:rsid w:val="003047CE"/>
    <w:rsid w:val="00311CA1"/>
    <w:rsid w:val="00314525"/>
    <w:rsid w:val="0031631B"/>
    <w:rsid w:val="00317D3A"/>
    <w:rsid w:val="00337867"/>
    <w:rsid w:val="00344263"/>
    <w:rsid w:val="0037366A"/>
    <w:rsid w:val="003A2DB0"/>
    <w:rsid w:val="003A74C9"/>
    <w:rsid w:val="003C550A"/>
    <w:rsid w:val="003F11A2"/>
    <w:rsid w:val="003F6E4A"/>
    <w:rsid w:val="004054EA"/>
    <w:rsid w:val="004107C5"/>
    <w:rsid w:val="004269C0"/>
    <w:rsid w:val="00484BE6"/>
    <w:rsid w:val="00497F1B"/>
    <w:rsid w:val="004A281C"/>
    <w:rsid w:val="004B37B8"/>
    <w:rsid w:val="004E4E18"/>
    <w:rsid w:val="005008FF"/>
    <w:rsid w:val="0051362B"/>
    <w:rsid w:val="00513D28"/>
    <w:rsid w:val="00541526"/>
    <w:rsid w:val="00556987"/>
    <w:rsid w:val="0055781A"/>
    <w:rsid w:val="005668ED"/>
    <w:rsid w:val="005708FF"/>
    <w:rsid w:val="005B4779"/>
    <w:rsid w:val="005B5437"/>
    <w:rsid w:val="005D7BB3"/>
    <w:rsid w:val="005E4D02"/>
    <w:rsid w:val="005F089B"/>
    <w:rsid w:val="00633673"/>
    <w:rsid w:val="00641AA3"/>
    <w:rsid w:val="0066654D"/>
    <w:rsid w:val="0067288E"/>
    <w:rsid w:val="006852D3"/>
    <w:rsid w:val="006A07B7"/>
    <w:rsid w:val="006D7060"/>
    <w:rsid w:val="006E3332"/>
    <w:rsid w:val="00716386"/>
    <w:rsid w:val="00730AB4"/>
    <w:rsid w:val="00775B67"/>
    <w:rsid w:val="00777050"/>
    <w:rsid w:val="007A35EB"/>
    <w:rsid w:val="007A4164"/>
    <w:rsid w:val="007B0818"/>
    <w:rsid w:val="007D2749"/>
    <w:rsid w:val="00801771"/>
    <w:rsid w:val="0083445B"/>
    <w:rsid w:val="008678DA"/>
    <w:rsid w:val="00884497"/>
    <w:rsid w:val="00890C0E"/>
    <w:rsid w:val="008A34AC"/>
    <w:rsid w:val="008B5E02"/>
    <w:rsid w:val="008C1FAB"/>
    <w:rsid w:val="008F088B"/>
    <w:rsid w:val="00900816"/>
    <w:rsid w:val="00916051"/>
    <w:rsid w:val="00943F0F"/>
    <w:rsid w:val="009547D4"/>
    <w:rsid w:val="00971B59"/>
    <w:rsid w:val="00972184"/>
    <w:rsid w:val="00973247"/>
    <w:rsid w:val="00973520"/>
    <w:rsid w:val="009900FD"/>
    <w:rsid w:val="009A2119"/>
    <w:rsid w:val="009C1F22"/>
    <w:rsid w:val="009C4074"/>
    <w:rsid w:val="00A43DBE"/>
    <w:rsid w:val="00A74E4F"/>
    <w:rsid w:val="00A75DEA"/>
    <w:rsid w:val="00AD748A"/>
    <w:rsid w:val="00AD7D1A"/>
    <w:rsid w:val="00AE496A"/>
    <w:rsid w:val="00AF16FA"/>
    <w:rsid w:val="00AF2C71"/>
    <w:rsid w:val="00B0795C"/>
    <w:rsid w:val="00B24246"/>
    <w:rsid w:val="00B67108"/>
    <w:rsid w:val="00B70538"/>
    <w:rsid w:val="00B87E2B"/>
    <w:rsid w:val="00BB02CF"/>
    <w:rsid w:val="00BD7398"/>
    <w:rsid w:val="00BE5C8A"/>
    <w:rsid w:val="00C51005"/>
    <w:rsid w:val="00CB24D2"/>
    <w:rsid w:val="00CF57AE"/>
    <w:rsid w:val="00D0078C"/>
    <w:rsid w:val="00D221EB"/>
    <w:rsid w:val="00D4242D"/>
    <w:rsid w:val="00D52D19"/>
    <w:rsid w:val="00D568A7"/>
    <w:rsid w:val="00D86AB5"/>
    <w:rsid w:val="00D9179A"/>
    <w:rsid w:val="00D9241D"/>
    <w:rsid w:val="00DA3C57"/>
    <w:rsid w:val="00DA6CE4"/>
    <w:rsid w:val="00DD2482"/>
    <w:rsid w:val="00DF6277"/>
    <w:rsid w:val="00E45C71"/>
    <w:rsid w:val="00E74321"/>
    <w:rsid w:val="00ED0F48"/>
    <w:rsid w:val="00ED5771"/>
    <w:rsid w:val="00F12EAE"/>
    <w:rsid w:val="00F32E3D"/>
    <w:rsid w:val="00F35606"/>
    <w:rsid w:val="00F64B53"/>
    <w:rsid w:val="00F90297"/>
    <w:rsid w:val="00FB166E"/>
    <w:rsid w:val="00FC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08F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F2C7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42D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D424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7770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F2C7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42D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D424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7770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chart" Target="charts/chart1.xml"/><Relationship Id="rId8" Type="http://schemas.openxmlformats.org/officeDocument/2006/relationships/chart" Target="charts/chart2.xml"/><Relationship Id="rId9" Type="http://schemas.openxmlformats.org/officeDocument/2006/relationships/chart" Target="charts/chart3.xml"/><Relationship Id="rId10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2014\D&#225;ta%20pre%20MDZ%20-%20j&#250;l%202013\grafy%20-nezamestnanos&#357;%20po%20okresoch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2014\D&#225;ta%20pre%20MDZ%20-%20j&#250;l%202013\PZI%20-%20grafy%20po%20okresoch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2014\D&#225;ta%20pre%20MDZ%20-%20pr&#237;prava%20pre%20RRA%20%202014\grafy%20pre%20RRA%20-%20podniky%20pod&#318;a%20NAC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0194444444444444"/>
          <c:y val="0.0509259259259259"/>
          <c:w val="0.969894138232721"/>
          <c:h val="0.833094196558764"/>
        </c:manualLayout>
      </c:layout>
      <c:lineChart>
        <c:grouping val="standard"/>
        <c:varyColors val="0"/>
        <c:ser>
          <c:idx val="0"/>
          <c:order val="0"/>
          <c:tx>
            <c:strRef>
              <c:f>Trnav!$A$93</c:f>
              <c:strCache>
                <c:ptCount val="1"/>
                <c:pt idx="0">
                  <c:v>priemer SR</c:v>
                </c:pt>
              </c:strCache>
            </c:strRef>
          </c:tx>
          <c:spPr>
            <a:ln>
              <a:solidFill>
                <a:schemeClr val="tx2"/>
              </a:solidFill>
            </a:ln>
          </c:spPr>
          <c:marker>
            <c:spPr>
              <a:solidFill>
                <a:schemeClr val="tx2"/>
              </a:solidFill>
            </c:spPr>
          </c:marker>
          <c:dLbls>
            <c:dLbl>
              <c:idx val="1"/>
              <c:layout>
                <c:manualLayout>
                  <c:x val="-0.059015169116908"/>
                  <c:y val="-0.080835777177555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Trnav!$B$20:$G$20</c:f>
              <c:numCache>
                <c:formatCode>General</c:formatCode>
                <c:ptCount val="6"/>
                <c:pt idx="0">
                  <c:v>2008.0</c:v>
                </c:pt>
                <c:pt idx="1">
                  <c:v>2009.0</c:v>
                </c:pt>
                <c:pt idx="2">
                  <c:v>2010.0</c:v>
                </c:pt>
                <c:pt idx="3">
                  <c:v>2011.0</c:v>
                </c:pt>
                <c:pt idx="4">
                  <c:v>2012.0</c:v>
                </c:pt>
                <c:pt idx="5">
                  <c:v>2013.0</c:v>
                </c:pt>
              </c:numCache>
            </c:numRef>
          </c:cat>
          <c:val>
            <c:numRef>
              <c:f>Trnav!$B$93:$G$93</c:f>
              <c:numCache>
                <c:formatCode>0.0</c:formatCode>
                <c:ptCount val="6"/>
                <c:pt idx="0">
                  <c:v>8.39</c:v>
                </c:pt>
                <c:pt idx="1">
                  <c:v>12.66</c:v>
                </c:pt>
                <c:pt idx="2">
                  <c:v>12.46</c:v>
                </c:pt>
                <c:pt idx="3">
                  <c:v>13.59</c:v>
                </c:pt>
                <c:pt idx="4">
                  <c:v>14.44</c:v>
                </c:pt>
                <c:pt idx="5">
                  <c:v>13.5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Trnav!$A$94</c:f>
              <c:strCache>
                <c:ptCount val="1"/>
                <c:pt idx="0">
                  <c:v>TTSK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Trnav!$B$20:$G$20</c:f>
              <c:numCache>
                <c:formatCode>General</c:formatCode>
                <c:ptCount val="6"/>
                <c:pt idx="0">
                  <c:v>2008.0</c:v>
                </c:pt>
                <c:pt idx="1">
                  <c:v>2009.0</c:v>
                </c:pt>
                <c:pt idx="2">
                  <c:v>2010.0</c:v>
                </c:pt>
                <c:pt idx="3">
                  <c:v>2011.0</c:v>
                </c:pt>
                <c:pt idx="4">
                  <c:v>2012.0</c:v>
                </c:pt>
                <c:pt idx="5">
                  <c:v>2013.0</c:v>
                </c:pt>
              </c:numCache>
            </c:numRef>
          </c:cat>
          <c:val>
            <c:numRef>
              <c:f>Trnav!$B$94:$G$94</c:f>
              <c:numCache>
                <c:formatCode>0.0</c:formatCode>
                <c:ptCount val="6"/>
                <c:pt idx="0">
                  <c:v>4.29</c:v>
                </c:pt>
                <c:pt idx="1">
                  <c:v>8.370000000000002</c:v>
                </c:pt>
                <c:pt idx="2">
                  <c:v>8.17</c:v>
                </c:pt>
                <c:pt idx="3">
                  <c:v>8.88</c:v>
                </c:pt>
                <c:pt idx="4">
                  <c:v>9.43</c:v>
                </c:pt>
                <c:pt idx="5">
                  <c:v>9.16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Trnav!$A$95</c:f>
              <c:strCache>
                <c:ptCount val="1"/>
                <c:pt idx="0">
                  <c:v>Piešťany</c:v>
                </c:pt>
              </c:strCache>
            </c:strRef>
          </c:tx>
          <c:spPr>
            <a:ln>
              <a:solidFill>
                <a:schemeClr val="tx1">
                  <a:lumMod val="65000"/>
                  <a:lumOff val="35000"/>
                </a:schemeClr>
              </a:solidFill>
            </a:ln>
          </c:spPr>
          <c:marker>
            <c:spPr>
              <a:solidFill>
                <a:schemeClr val="tx1">
                  <a:lumMod val="65000"/>
                  <a:lumOff val="35000"/>
                </a:schemeClr>
              </a:solidFill>
            </c:spPr>
          </c:marker>
          <c:dLbls>
            <c:dLbl>
              <c:idx val="0"/>
              <c:layout>
                <c:manualLayout>
                  <c:x val="-0.0399716773955134"/>
                  <c:y val="0.073407738495605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en-US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Trnav!$B$20:$G$20</c:f>
              <c:numCache>
                <c:formatCode>General</c:formatCode>
                <c:ptCount val="6"/>
                <c:pt idx="0">
                  <c:v>2008.0</c:v>
                </c:pt>
                <c:pt idx="1">
                  <c:v>2009.0</c:v>
                </c:pt>
                <c:pt idx="2">
                  <c:v>2010.0</c:v>
                </c:pt>
                <c:pt idx="3">
                  <c:v>2011.0</c:v>
                </c:pt>
                <c:pt idx="4">
                  <c:v>2012.0</c:v>
                </c:pt>
                <c:pt idx="5">
                  <c:v>2013.0</c:v>
                </c:pt>
              </c:numCache>
            </c:numRef>
          </c:cat>
          <c:val>
            <c:numRef>
              <c:f>Trnav!$B$95:$G$95</c:f>
              <c:numCache>
                <c:formatCode>0.0</c:formatCode>
                <c:ptCount val="6"/>
                <c:pt idx="0">
                  <c:v>4.29</c:v>
                </c:pt>
                <c:pt idx="1">
                  <c:v>7.8</c:v>
                </c:pt>
                <c:pt idx="2">
                  <c:v>6.98</c:v>
                </c:pt>
                <c:pt idx="3">
                  <c:v>8.38</c:v>
                </c:pt>
                <c:pt idx="4">
                  <c:v>8.48</c:v>
                </c:pt>
                <c:pt idx="5">
                  <c:v>9.44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93062984"/>
        <c:axId val="2136540424"/>
      </c:lineChart>
      <c:catAx>
        <c:axId val="2093062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2136540424"/>
        <c:crosses val="autoZero"/>
        <c:auto val="1"/>
        <c:lblAlgn val="ctr"/>
        <c:lblOffset val="100"/>
        <c:noMultiLvlLbl val="0"/>
      </c:catAx>
      <c:valAx>
        <c:axId val="2136540424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20930629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020110361521821"/>
          <c:y val="0.0318557580167254"/>
          <c:w val="0.275528433945757"/>
          <c:h val="0.217601706036745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0305555555555556"/>
          <c:y val="0.0509259259259259"/>
          <c:w val="0.950707567804025"/>
          <c:h val="0.833094196558764"/>
        </c:manualLayout>
      </c:layout>
      <c:lineChart>
        <c:grouping val="standard"/>
        <c:varyColors val="0"/>
        <c:ser>
          <c:idx val="0"/>
          <c:order val="0"/>
          <c:tx>
            <c:strRef>
              <c:f>Trnava!$B$63</c:f>
              <c:strCache>
                <c:ptCount val="1"/>
                <c:pt idx="0">
                  <c:v>Piešťany</c:v>
                </c:pt>
              </c:strCache>
            </c:strRef>
          </c:tx>
          <c:dLbls>
            <c:dLbl>
              <c:idx val="0"/>
              <c:layout>
                <c:manualLayout>
                  <c:x val="-0.0630579297245964"/>
                  <c:y val="-0.084676179164931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063058228832507"/>
                  <c:y val="-0.077165035772419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0402659069325736"/>
                  <c:y val="-0.06965270942953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0630579297245964"/>
                  <c:y val="-0.054629239694136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0706552706552707"/>
                  <c:y val="-0.06965270942953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0557970851934107"/>
                  <c:y val="-0.054629239694136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700"/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Trnava!$C$3:$H$3</c:f>
              <c:numCache>
                <c:formatCode>General</c:formatCode>
                <c:ptCount val="6"/>
                <c:pt idx="0">
                  <c:v>2007.0</c:v>
                </c:pt>
                <c:pt idx="1">
                  <c:v>2008.0</c:v>
                </c:pt>
                <c:pt idx="2">
                  <c:v>2009.0</c:v>
                </c:pt>
                <c:pt idx="3">
                  <c:v>2010.0</c:v>
                </c:pt>
                <c:pt idx="4">
                  <c:v>2011.0</c:v>
                </c:pt>
                <c:pt idx="5">
                  <c:v>2012.0</c:v>
                </c:pt>
              </c:numCache>
            </c:numRef>
          </c:cat>
          <c:val>
            <c:numRef>
              <c:f>Trnava!$C$63:$H$63</c:f>
              <c:numCache>
                <c:formatCode>General</c:formatCode>
                <c:ptCount val="6"/>
                <c:pt idx="0">
                  <c:v>2355.0</c:v>
                </c:pt>
                <c:pt idx="1">
                  <c:v>2457.0</c:v>
                </c:pt>
                <c:pt idx="2">
                  <c:v>2023.0</c:v>
                </c:pt>
                <c:pt idx="3">
                  <c:v>1936.0</c:v>
                </c:pt>
                <c:pt idx="4">
                  <c:v>2351.0</c:v>
                </c:pt>
                <c:pt idx="5">
                  <c:v>4094.0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Trnava!$B$64</c:f>
              <c:strCache>
                <c:ptCount val="1"/>
                <c:pt idx="0">
                  <c:v>priemer SR</c:v>
                </c:pt>
              </c:strCache>
            </c:strRef>
          </c:tx>
          <c:dLbls>
            <c:dLbl>
              <c:idx val="0"/>
              <c:layout>
                <c:manualLayout>
                  <c:x val="-0.0554605887939221"/>
                  <c:y val="-0.06965270942953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0668566001899335"/>
                  <c:y val="-0.084676179164931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0630579297245964"/>
                  <c:y val="-0.077164444297232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0592592592592593"/>
                  <c:y val="-0.092187914032630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700"/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Trnava!$C$3:$H$3</c:f>
              <c:numCache>
                <c:formatCode>General</c:formatCode>
                <c:ptCount val="6"/>
                <c:pt idx="0">
                  <c:v>2007.0</c:v>
                </c:pt>
                <c:pt idx="1">
                  <c:v>2008.0</c:v>
                </c:pt>
                <c:pt idx="2">
                  <c:v>2009.0</c:v>
                </c:pt>
                <c:pt idx="3">
                  <c:v>2010.0</c:v>
                </c:pt>
                <c:pt idx="4">
                  <c:v>2011.0</c:v>
                </c:pt>
                <c:pt idx="5">
                  <c:v>2012.0</c:v>
                </c:pt>
              </c:numCache>
            </c:numRef>
          </c:cat>
          <c:val>
            <c:numRef>
              <c:f>Trnava!$C$64:$H$64</c:f>
              <c:numCache>
                <c:formatCode>General</c:formatCode>
                <c:ptCount val="6"/>
                <c:pt idx="0">
                  <c:v>5380.0</c:v>
                </c:pt>
                <c:pt idx="1">
                  <c:v>6693.0</c:v>
                </c:pt>
                <c:pt idx="2">
                  <c:v>6722.0</c:v>
                </c:pt>
                <c:pt idx="3">
                  <c:v>6929.0</c:v>
                </c:pt>
                <c:pt idx="4">
                  <c:v>7335.0</c:v>
                </c:pt>
                <c:pt idx="5">
                  <c:v>7818.0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46713864"/>
        <c:axId val="2135994920"/>
      </c:lineChart>
      <c:catAx>
        <c:axId val="2146713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2135994920"/>
        <c:crosses val="autoZero"/>
        <c:auto val="1"/>
        <c:lblAlgn val="ctr"/>
        <c:lblOffset val="100"/>
        <c:noMultiLvlLbl val="0"/>
      </c:catAx>
      <c:valAx>
        <c:axId val="21359949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1467138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0320981672162775"/>
          <c:y val="0.0442831557330507"/>
          <c:w val="0.42849062670585"/>
          <c:h val="0.19781887610251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Sheet1!$A$1:$E$1</c:f>
              <c:strCache>
                <c:ptCount val="5"/>
                <c:pt idx="0">
                  <c:v>poľnohospodárstvo</c:v>
                </c:pt>
                <c:pt idx="1">
                  <c:v>priemysel</c:v>
                </c:pt>
                <c:pt idx="2">
                  <c:v>stavebníctvo</c:v>
                </c:pt>
                <c:pt idx="3">
                  <c:v>obchod a doprava</c:v>
                </c:pt>
                <c:pt idx="4">
                  <c:v>ostatné služby</c:v>
                </c:pt>
              </c:strCache>
            </c:strRef>
          </c:cat>
          <c:val>
            <c:numRef>
              <c:f>Sheet1!$A$2:$E$2</c:f>
              <c:numCache>
                <c:formatCode>General</c:formatCode>
                <c:ptCount val="5"/>
                <c:pt idx="0">
                  <c:v>58.0</c:v>
                </c:pt>
                <c:pt idx="1">
                  <c:v>230.0</c:v>
                </c:pt>
                <c:pt idx="2">
                  <c:v>174.0</c:v>
                </c:pt>
                <c:pt idx="3">
                  <c:v>735.0</c:v>
                </c:pt>
                <c:pt idx="4">
                  <c:v>26.0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  <c:txPr>
        <a:bodyPr/>
        <a:lstStyle/>
        <a:p>
          <a:pPr>
            <a:defRPr sz="900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'[MDZ 2014 odpad.xlsx]TT'!$B$13</c:f>
              <c:strCache>
                <c:ptCount val="1"/>
                <c:pt idx="0">
                  <c:v>% zhodnoteného kom. odpadu na obyv.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'[MDZ 2014 odpad.xlsx]TT'!$C$1:$I$1</c:f>
              <c:numCache>
                <c:formatCode>General</c:formatCode>
                <c:ptCount val="7"/>
                <c:pt idx="0">
                  <c:v>2007.0</c:v>
                </c:pt>
                <c:pt idx="1">
                  <c:v>2008.0</c:v>
                </c:pt>
                <c:pt idx="2">
                  <c:v>2009.0</c:v>
                </c:pt>
                <c:pt idx="3">
                  <c:v>2010.0</c:v>
                </c:pt>
                <c:pt idx="4">
                  <c:v>2011.0</c:v>
                </c:pt>
                <c:pt idx="5">
                  <c:v>2012.0</c:v>
                </c:pt>
                <c:pt idx="6">
                  <c:v>2013.0</c:v>
                </c:pt>
              </c:numCache>
            </c:numRef>
          </c:cat>
          <c:val>
            <c:numRef>
              <c:f>'[MDZ 2014 odpad.xlsx]TT'!$C$13:$I$13</c:f>
              <c:numCache>
                <c:formatCode>0.0%</c:formatCode>
                <c:ptCount val="7"/>
                <c:pt idx="0">
                  <c:v>0.234815025882129</c:v>
                </c:pt>
                <c:pt idx="1">
                  <c:v>0.0624051346545817</c:v>
                </c:pt>
                <c:pt idx="2">
                  <c:v>0.262215019868138</c:v>
                </c:pt>
                <c:pt idx="3">
                  <c:v>0.263394010569583</c:v>
                </c:pt>
                <c:pt idx="4">
                  <c:v>0.279445727482679</c:v>
                </c:pt>
                <c:pt idx="5">
                  <c:v>0.295512671471751</c:v>
                </c:pt>
                <c:pt idx="6">
                  <c:v>0.277428371767994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36038232"/>
        <c:axId val="2136676920"/>
      </c:lineChart>
      <c:catAx>
        <c:axId val="2136038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2136676920"/>
        <c:crosses val="autoZero"/>
        <c:auto val="1"/>
        <c:lblAlgn val="ctr"/>
        <c:lblOffset val="100"/>
        <c:noMultiLvlLbl val="0"/>
      </c:catAx>
      <c:valAx>
        <c:axId val="2136676920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21360382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50699925317401"/>
          <c:y val="0.602186336877382"/>
          <c:w val="0.625213301945504"/>
          <c:h val="0.195596019247594"/>
        </c:manualLayout>
      </c:layout>
      <c:overlay val="1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14C6E-F806-6F4D-8EC4-A622B1D8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671</Words>
  <Characters>3830</Characters>
  <Application>Microsoft Macintosh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Švec2, Jozef</dc:creator>
  <cp:lastModifiedBy>Rene Steiner</cp:lastModifiedBy>
  <cp:revision>28</cp:revision>
  <cp:lastPrinted>2014-07-24T13:28:00Z</cp:lastPrinted>
  <dcterms:created xsi:type="dcterms:W3CDTF">2014-07-25T10:56:00Z</dcterms:created>
  <dcterms:modified xsi:type="dcterms:W3CDTF">2014-12-27T21:38:00Z</dcterms:modified>
</cp:coreProperties>
</file>