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6405" w14:textId="77777777" w:rsidR="007C7B48" w:rsidRPr="00ED27E8" w:rsidRDefault="007C7B48" w:rsidP="007C7B48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D27E8">
        <w:rPr>
          <w:rFonts w:ascii="Times New Roman" w:hAnsi="Times New Roman"/>
          <w:b/>
          <w:bCs/>
          <w:spacing w:val="-1"/>
          <w:sz w:val="24"/>
          <w:szCs w:val="24"/>
        </w:rPr>
        <w:t>Popis projektu</w:t>
      </w:r>
    </w:p>
    <w:p w14:paraId="60FC119F" w14:textId="77777777" w:rsidR="007C7B48" w:rsidRPr="00ED27E8" w:rsidRDefault="007C7B48" w:rsidP="007C7B48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D27E8">
        <w:rPr>
          <w:rFonts w:ascii="Times New Roman" w:hAnsi="Times New Roman"/>
          <w:b/>
          <w:bCs/>
          <w:spacing w:val="-1"/>
          <w:sz w:val="24"/>
          <w:szCs w:val="24"/>
        </w:rPr>
        <w:t>zameraného na realizáciu aktivít v oblasti podpory regionálneho rozvoja p</w:t>
      </w:r>
      <w:r w:rsidR="007D4A01" w:rsidRPr="00ED27E8">
        <w:rPr>
          <w:rFonts w:ascii="Times New Roman" w:hAnsi="Times New Roman"/>
          <w:b/>
          <w:bCs/>
          <w:spacing w:val="-1"/>
          <w:sz w:val="24"/>
          <w:szCs w:val="24"/>
        </w:rPr>
        <w:t xml:space="preserve">odľa </w:t>
      </w:r>
      <w:r w:rsidR="007D4A01" w:rsidRPr="00ED27E8">
        <w:rPr>
          <w:rFonts w:ascii="Times New Roman" w:hAnsi="Times New Roman"/>
          <w:b/>
          <w:bCs/>
          <w:spacing w:val="-1"/>
          <w:sz w:val="24"/>
          <w:szCs w:val="24"/>
        </w:rPr>
        <w:br/>
        <w:t>§ 3 ods. 2 a § 13 ods. 2</w:t>
      </w:r>
      <w:r w:rsidRPr="00ED27E8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60E71" w:rsidRPr="00ED27E8">
        <w:rPr>
          <w:rFonts w:ascii="Times New Roman" w:hAnsi="Times New Roman"/>
          <w:b/>
          <w:bCs/>
          <w:spacing w:val="-1"/>
          <w:sz w:val="24"/>
          <w:szCs w:val="24"/>
        </w:rPr>
        <w:t>zákona o podpore regionálneho rozvoja</w:t>
      </w:r>
    </w:p>
    <w:p w14:paraId="413CD9B4" w14:textId="4B5C9C33" w:rsidR="0017043D" w:rsidRPr="00ED27E8" w:rsidRDefault="0017043D" w:rsidP="0017043D">
      <w:pPr>
        <w:pStyle w:val="Bezriadkovania"/>
        <w:keepNext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5627"/>
      </w:tblGrid>
      <w:tr w:rsidR="007C7B48" w:rsidRPr="00ED27E8" w14:paraId="64800E2C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5678992B" w14:textId="77777777" w:rsidR="007C7B48" w:rsidRPr="00F73E6D" w:rsidRDefault="007C7B48" w:rsidP="00ED27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Názov projektu:</w:t>
            </w:r>
          </w:p>
        </w:tc>
        <w:tc>
          <w:tcPr>
            <w:tcW w:w="5627" w:type="dxa"/>
            <w:vAlign w:val="center"/>
          </w:tcPr>
          <w:p w14:paraId="6B98EB19" w14:textId="598D4DE2" w:rsidR="007C7B48" w:rsidRPr="00F73E6D" w:rsidRDefault="009B44E6" w:rsidP="009B44E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Zachovanie a podpora vnútorného potenciálu Trnavského regiónu.</w:t>
            </w:r>
          </w:p>
        </w:tc>
      </w:tr>
      <w:tr w:rsidR="007C7B48" w:rsidRPr="00ED27E8" w14:paraId="016A7F6F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1FACA400" w14:textId="77777777" w:rsidR="007C7B48" w:rsidRPr="00F73E6D" w:rsidRDefault="007C7B48" w:rsidP="00ED27E8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2"/>
                <w:sz w:val="24"/>
                <w:szCs w:val="24"/>
              </w:rPr>
              <w:t>Predpokladaný začiatok a ukončenie realizácie projektu:</w:t>
            </w:r>
          </w:p>
        </w:tc>
        <w:tc>
          <w:tcPr>
            <w:tcW w:w="5627" w:type="dxa"/>
            <w:vAlign w:val="center"/>
          </w:tcPr>
          <w:p w14:paraId="3D1C4AB3" w14:textId="6834D7E7" w:rsidR="007C7B48" w:rsidRPr="00F73E6D" w:rsidRDefault="009B44E6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08/2019 – 12/2019</w:t>
            </w:r>
          </w:p>
        </w:tc>
      </w:tr>
      <w:tr w:rsidR="009B44E6" w:rsidRPr="00ED27E8" w14:paraId="7F4202DE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2C310223" w14:textId="2B2C5CE1" w:rsidR="009B44E6" w:rsidRPr="00F73E6D" w:rsidRDefault="009B44E6" w:rsidP="009B44E6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2"/>
                <w:sz w:val="24"/>
                <w:szCs w:val="24"/>
              </w:rPr>
              <w:t>Hlavný cieľ:</w:t>
            </w:r>
          </w:p>
        </w:tc>
        <w:tc>
          <w:tcPr>
            <w:tcW w:w="5627" w:type="dxa"/>
            <w:vAlign w:val="center"/>
          </w:tcPr>
          <w:p w14:paraId="6F2BD2C7" w14:textId="16B7B213" w:rsidR="009B44E6" w:rsidRPr="00F73E6D" w:rsidRDefault="009B44E6" w:rsidP="009B44E6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Hlavným cieľom projektu je </w:t>
            </w:r>
            <w:r w:rsidRPr="00DF54CE">
              <w:rPr>
                <w:rFonts w:ascii="Times New Roman" w:hAnsi="Times New Roman"/>
                <w:spacing w:val="-4"/>
                <w:sz w:val="24"/>
                <w:szCs w:val="24"/>
              </w:rPr>
              <w:t>odstraňovať alebo zmierňovať nežiaduce rozdiely v úrovni hospodárskeho rozvoja, sociálneho rozvoja a územného rozvoja regiónov a zabezpečiť tr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valo udržateľný rozvoj regiónov.</w:t>
            </w:r>
          </w:p>
        </w:tc>
      </w:tr>
      <w:tr w:rsidR="009B44E6" w:rsidRPr="00ED27E8" w14:paraId="59157A3C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7C12BDE9" w14:textId="632C239B" w:rsidR="009B44E6" w:rsidRPr="00F73E6D" w:rsidRDefault="009B44E6" w:rsidP="009B44E6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2"/>
                <w:sz w:val="24"/>
                <w:szCs w:val="24"/>
              </w:rPr>
              <w:t>Špecifické ciele:</w:t>
            </w:r>
          </w:p>
        </w:tc>
        <w:tc>
          <w:tcPr>
            <w:tcW w:w="5627" w:type="dxa"/>
            <w:vAlign w:val="center"/>
          </w:tcPr>
          <w:p w14:paraId="760C8349" w14:textId="03174CC0" w:rsidR="009B44E6" w:rsidRPr="00F73E6D" w:rsidRDefault="009B44E6" w:rsidP="009B44E6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Špecifickým cieľom projektu je </w:t>
            </w:r>
            <w:r w:rsidRPr="00DF54CE">
              <w:rPr>
                <w:rFonts w:ascii="Times New Roman" w:hAnsi="Times New Roman"/>
                <w:spacing w:val="-4"/>
                <w:sz w:val="24"/>
                <w:szCs w:val="24"/>
              </w:rPr>
              <w:t>zachovanie identity a rozvoj kultúry a starostlivosť o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 historické a </w:t>
            </w:r>
            <w:r w:rsidRPr="00DF54CE">
              <w:rPr>
                <w:rFonts w:ascii="Times New Roman" w:hAnsi="Times New Roman"/>
                <w:spacing w:val="-4"/>
                <w:sz w:val="24"/>
                <w:szCs w:val="24"/>
              </w:rPr>
              <w:t>kultú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rne dedičstvo regiónov a sídiel. </w:t>
            </w:r>
          </w:p>
        </w:tc>
      </w:tr>
      <w:tr w:rsidR="007C7B48" w:rsidRPr="00ED27E8" w14:paraId="79274B9C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6EDE81E1" w14:textId="060F6DED" w:rsidR="007C7B48" w:rsidRPr="00F73E6D" w:rsidDel="009E38EF" w:rsidRDefault="00E86022" w:rsidP="00ED27E8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2"/>
                <w:sz w:val="24"/>
                <w:szCs w:val="24"/>
              </w:rPr>
              <w:t>Ú</w:t>
            </w:r>
            <w:r w:rsidR="007C7B48" w:rsidRPr="00F73E6D">
              <w:rPr>
                <w:rFonts w:ascii="Times New Roman" w:hAnsi="Times New Roman"/>
                <w:spacing w:val="-2"/>
                <w:sz w:val="24"/>
                <w:szCs w:val="24"/>
              </w:rPr>
              <w:t>čel projektu</w:t>
            </w:r>
            <w:r w:rsidR="0017043D" w:rsidRPr="00F73E6D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20373D46" w14:textId="77777777" w:rsidR="0053797A" w:rsidRDefault="0053797A" w:rsidP="009B44E6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49275D21" w14:textId="056C8710" w:rsidR="009B44E6" w:rsidRDefault="009B44E6" w:rsidP="009B44E6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Účelom a predmetom projektu je zachovanie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 podpora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historického a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kultúrneho dedičstva regiónu 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>špecifického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pre daný región. Realizáciou projektu sa prispeje k regionálnemu rozvoju, zachovaniu 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historického a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kultúrneho dedičstva, upevneniu a šíreniu 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>dedičstva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 motivácií ďalšej generácie na zachovávanie a šírenie regionálnej </w:t>
            </w:r>
            <w:r w:rsidR="00312E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histórie,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kultúry a osobitostí.</w:t>
            </w:r>
          </w:p>
          <w:p w14:paraId="062C8CD0" w14:textId="77777777" w:rsidR="009B44E6" w:rsidRDefault="009B44E6" w:rsidP="009B44E6">
            <w:pPr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V rámci predmetného projektu sa realizujú aktivity:</w:t>
            </w:r>
          </w:p>
          <w:p w14:paraId="7622C886" w14:textId="77777777" w:rsidR="009B44E6" w:rsidRPr="00B72B58" w:rsidRDefault="009B44E6" w:rsidP="009B44E6">
            <w:pPr>
              <w:ind w:right="34"/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B72B58"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  <w:t>Aktivita  A:</w:t>
            </w:r>
          </w:p>
          <w:p w14:paraId="70B3667F" w14:textId="5B72311D" w:rsidR="00BA4845" w:rsidRPr="00BA4845" w:rsidRDefault="00BA4845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BA4845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I</w:t>
            </w:r>
            <w:r w:rsidRPr="00BA4845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. Etapa prípravných projektových prác pre komplexnú obnovu pôvodne románskeho kostola P. Márie z roku 1245 v obci Trstín</w:t>
            </w:r>
          </w:p>
          <w:p w14:paraId="02366D04" w14:textId="77777777" w:rsidR="0053797A" w:rsidRDefault="00225E1D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Na prelome rokov 2018 a 2019 prebehla I. Etapa prípravných projektových prác pre komplexnú obnovu NKP ÚZPF č.1145/1 pôvodne románskeho kostola P. Márie z roku 1245 v obci Trstín. Kostol sa nachádza v nevyhovujúcom tech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nickom stave. Ide o pamiatku veľ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kého historického významu, ale súčasne aj významný bod v kontexte turistickej trasy a ďalších významných pamiatok v blízkom okolí - románska rotunda v Dechticiach, kláštor Katarínka, pôvodne renesančný kaštieľ v Chtelnici či blízkosť mestskej pamiatkovej rezervácie mesta Trnava.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Táto 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I. Etapa prípravných projektových prác pozostávala z ko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mplexného reš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taurátorského výskumu povrchov stien interiéru a 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exteriéru objektu a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architektonicko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-historického a umelecko-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historického výskumu. Poznatky z týchto výskumov potvrdili existenciu zachovaných pôvodných historických vrsti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ev a murív, a to ešte z románske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ho obdobia. Súbor poznatkov získaných v prvej etape poukázal na potrebu pokračovania prípravných projektových prác, nakoľko prvá etapa z časových dôvodov a objemu finančných prostrie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dk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ov nemohla v žiadnom prípade obsiahnuť celý rozsah projektovej prípravy reštaurovania kostola. </w:t>
            </w:r>
          </w:p>
          <w:p w14:paraId="13D4A35D" w14:textId="271CE627" w:rsidR="00225E1D" w:rsidRPr="00225E1D" w:rsidRDefault="0053797A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 týchto dôvodov a vzhľadom na vek NKP je potrebné doskúmanie pamiatky v II. etape prípravných projektových prác. II. etapa by v prvom rade mala zahŕňať 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reštaurátor</w:t>
            </w:r>
            <w:r w:rsidR="00BA4845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s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ké doskúmanie štukovej výzdoby a kamenných prvkov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 nakoľko boli objavené ďalšie zdroje historických dokumentov aj 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doplnenie </w:t>
            </w:r>
            <w:r w:rsidR="00BA4845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archívneho výskumu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. Výsledky reš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taurátorských výskumov z I. a II. etapy budú tak môcť slúžiť pre spracovanie výslednej reštaurátorskej dokumentácie v zmysle §5 vyhlášky č.253 Ministerstva kultúry Slovenskej republiky, ktorá bude podkladom pre vydanie rozhodnutia príslušného Krajského pamiatkového úradu v Trnave k zámeru reštaurovania tejto NKP. Súčasne je potrebné 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posúdenie vertikálnych trhlín murív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ktoré boli zachytené v I. etape výskumných prác, ich zhodnotenie a následný 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návrh reštauráto</w:t>
            </w:r>
            <w:r w:rsidR="00BA4845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rské</w:t>
            </w:r>
            <w:r w:rsidR="00225E1D" w:rsidRPr="00681FE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ho postupu na potlačenie týchto estetických defektov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Po ukončení II. etapy výskumných prác je taktiež nevyhnutná </w:t>
            </w:r>
            <w:r w:rsidR="00225E1D" w:rsidRPr="009167D1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reštaurátorská intervencia na odkrytých nálezových situáciách. 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>V rámci výskumov boli odkryté historické vrstvy až z románskeho obdobia a ich poškodenie by bolo nenahraditeľnou strat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>ou. V rámci tohto reštaurátorské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>ho zásahu budú zachytené uvoľnené fragmenty a následne prekryté vápennou omietkou až do ich reštaurovania, prípadne čiastočne po zakonzervovaní prezentované v analytických sondách.</w:t>
            </w:r>
          </w:p>
          <w:p w14:paraId="5F8BE38D" w14:textId="1D65EF5B" w:rsidR="00225E1D" w:rsidRPr="00225E1D" w:rsidRDefault="00BA4845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>Bez realizácie II. etapy zatiaľ nie je možné začať s reštaurovaním tejto NKP a vzhľadom na vek pôvodne románskeho kostola P.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>Márie sa predpokladá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že jeho doskúmaním vznikne súbor poznatkov pre možnosť jeho koncepčnej revitalizácie, ale aj publikácie poznatkov o jeho historickom vývoji a význame v r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ámci regiónu. Kostol je v súčas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nosti vzhľadom na potlačené estetické hodnoty vplyvom neodborných stavebno-technických a </w:t>
            </w:r>
            <w:r w:rsidR="00225E1D" w:rsidRPr="00225E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reštaurátorských zásahov využívaný len sporadicky a nie je plnohodnotne prezentovateľný. </w:t>
            </w:r>
          </w:p>
          <w:p w14:paraId="46D2FE66" w14:textId="77777777" w:rsidR="00225E1D" w:rsidRDefault="00225E1D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A48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  <w:r w:rsidRPr="00225E1D">
              <w:rPr>
                <w:rFonts w:ascii="Times New Roman" w:hAnsi="Times New Roman"/>
                <w:spacing w:val="-4"/>
                <w:sz w:val="24"/>
                <w:szCs w:val="24"/>
              </w:rPr>
              <w:t>Po dokončení prípravných projektových prác a jeho reštaurovaní bude môcť objekt slúžiť nielen ako prezentovateľný prvok historického dedičstva, ale i ako priestor pre realizáciu kultúrnych podujatí nielen na úrovni miestnej komunity, ale celého Európskeho priestoru.</w:t>
            </w:r>
          </w:p>
          <w:p w14:paraId="1FDC13B3" w14:textId="77777777" w:rsidR="00797D48" w:rsidRDefault="00797D48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0A661A16" w14:textId="77777777" w:rsidR="00BA4845" w:rsidRPr="00BA4845" w:rsidRDefault="00BA4845" w:rsidP="00225E1D">
            <w:pPr>
              <w:ind w:right="34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BA4845"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  <w:t>Aktivita  B</w:t>
            </w:r>
          </w:p>
          <w:p w14:paraId="0A038494" w14:textId="60E5D6C7" w:rsidR="00BA4845" w:rsidRPr="00BA4845" w:rsidRDefault="00BA4845" w:rsidP="00225E1D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BA4845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Zmapovanie najstarších archeologických nálezov v Mikroregióne nad Holeškou.</w:t>
            </w:r>
          </w:p>
          <w:p w14:paraId="5B49D8AD" w14:textId="4A430944" w:rsidR="00910B33" w:rsidRPr="00910B33" w:rsidRDefault="00797D48" w:rsidP="00910B33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  <w:bookmarkStart w:id="0" w:name="_GoBack"/>
            <w:r w:rsidR="00BA4845" w:rsidRPr="00BA48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 obciach Mikroregiónu nad Holeškou </w:t>
            </w:r>
            <w:r w:rsidR="00910B33">
              <w:rPr>
                <w:rFonts w:ascii="Times New Roman" w:hAnsi="Times New Roman"/>
                <w:spacing w:val="-4"/>
                <w:sz w:val="24"/>
                <w:szCs w:val="24"/>
              </w:rPr>
              <w:t>sa spracuje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10B33">
              <w:rPr>
                <w:rFonts w:ascii="Times New Roman" w:hAnsi="Times New Roman"/>
                <w:spacing w:val="-4"/>
                <w:sz w:val="24"/>
                <w:szCs w:val="24"/>
              </w:rPr>
              <w:t>a vytvorí publikácia</w:t>
            </w:r>
            <w:r w:rsidR="00910B33" w:rsidRPr="00910B33">
              <w:rPr>
                <w:rFonts w:ascii="Times New Roman" w:hAnsi="Times New Roman"/>
                <w:spacing w:val="-4"/>
                <w:sz w:val="24"/>
                <w:szCs w:val="24"/>
              </w:rPr>
              <w:t>, ktorá mapuje najstaršie a</w:t>
            </w:r>
            <w:r w:rsidR="00910B33">
              <w:rPr>
                <w:rFonts w:ascii="Times New Roman" w:hAnsi="Times New Roman"/>
                <w:spacing w:val="-4"/>
                <w:sz w:val="24"/>
                <w:szCs w:val="24"/>
              </w:rPr>
              <w:t>rcheologické nálezy v Mikroregió</w:t>
            </w:r>
            <w:r w:rsidR="00910B33" w:rsidRPr="00910B33">
              <w:rPr>
                <w:rFonts w:ascii="Times New Roman" w:hAnsi="Times New Roman"/>
                <w:spacing w:val="-4"/>
                <w:sz w:val="24"/>
                <w:szCs w:val="24"/>
              </w:rPr>
              <w:t>ne nad Holeškou.</w:t>
            </w:r>
          </w:p>
          <w:p w14:paraId="4678EF21" w14:textId="730EF50E" w:rsidR="00797D48" w:rsidRDefault="00797D48" w:rsidP="00797D48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Predmetná publikácia by bol </w:t>
            </w:r>
            <w:r w:rsidR="00910B33" w:rsidRPr="00910B33">
              <w:rPr>
                <w:rFonts w:ascii="Times New Roman" w:hAnsi="Times New Roman"/>
                <w:spacing w:val="-4"/>
                <w:sz w:val="24"/>
                <w:szCs w:val="24"/>
              </w:rPr>
              <w:t>sprievodca lokalitami v každej obci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v ktorej sa zrealizoval</w:t>
            </w:r>
            <w:r w:rsidR="00910B33" w:rsidRPr="00910B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výskum.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Popularizačná publikácia by bola plnofarebná, kvalitná a po zrealizovaní tejto aktivity </w:t>
            </w:r>
            <w:r w:rsidRPr="00797D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bol mikroregión schopný na ňu nadviazať vytvorením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cykloodpočívadiel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 informačnými tabuľ</w:t>
            </w:r>
            <w:r w:rsidRPr="00797D48">
              <w:rPr>
                <w:rFonts w:ascii="Times New Roman" w:hAnsi="Times New Roman"/>
                <w:spacing w:val="-4"/>
                <w:sz w:val="24"/>
                <w:szCs w:val="24"/>
              </w:rPr>
              <w:t>ami na miestach nálezov.</w:t>
            </w:r>
          </w:p>
          <w:bookmarkEnd w:id="0"/>
          <w:p w14:paraId="58EC7CF0" w14:textId="77777777" w:rsidR="00797D48" w:rsidRDefault="00797D48" w:rsidP="00797D48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692986DA" w14:textId="022C2834" w:rsidR="00797D48" w:rsidRPr="00F73E6D" w:rsidRDefault="00797D48" w:rsidP="00797D48">
            <w:pPr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</w:t>
            </w:r>
            <w:r w:rsidRPr="00237A89">
              <w:rPr>
                <w:rFonts w:ascii="Times New Roman" w:hAnsi="Times New Roman"/>
                <w:spacing w:val="-4"/>
                <w:sz w:val="24"/>
                <w:szCs w:val="24"/>
              </w:rPr>
              <w:t>Aktivity projektu, na ktoré sa požaduje dotácia bude manažérsky i administratívne riadiť a realizovať manažérsky tím RRA THP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7C7B48" w:rsidRPr="00ED27E8" w14:paraId="3CACA60A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738C8785" w14:textId="03283E33" w:rsidR="00A837D0" w:rsidRPr="00F73E6D" w:rsidRDefault="007C7B48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Cieľové skupiny projektu</w:t>
            </w:r>
            <w:r w:rsidR="00A837D0" w:rsidRPr="00F73E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85723" w:rsidRPr="00F73E6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 w:rsidR="00E563D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označte</w:t>
            </w:r>
            <w:r w:rsidR="00A85723" w:rsidRPr="00F73E6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  <w:r w:rsidR="00FD17D2" w:rsidRPr="00F73E6D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67213CCD" w14:textId="77777777" w:rsidR="007C7B48" w:rsidRPr="00F73E6D" w:rsidRDefault="007C7B48" w:rsidP="00ED27E8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27" w:type="dxa"/>
            <w:vAlign w:val="center"/>
          </w:tcPr>
          <w:p w14:paraId="012673D2" w14:textId="3775EA0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848941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7D48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☒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obce, </w:t>
            </w:r>
          </w:p>
          <w:p w14:paraId="3B35EF9E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6169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samosprávne kraje, </w:t>
            </w:r>
          </w:p>
          <w:p w14:paraId="041988D3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19264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>socio</w:t>
            </w:r>
            <w:proofErr w:type="spellEnd"/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-ekonomickí partneri v regióne, </w:t>
            </w:r>
          </w:p>
          <w:p w14:paraId="62A2BD20" w14:textId="77777777" w:rsidR="00A85723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13418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5723" w:rsidRPr="00F73E6D">
              <w:rPr>
                <w:rFonts w:ascii="Times New Roman" w:hAnsi="Times New Roman"/>
                <w:spacing w:val="-4"/>
                <w:sz w:val="24"/>
                <w:szCs w:val="24"/>
              </w:rPr>
              <w:t>podnikateľské subjekty,</w:t>
            </w:r>
          </w:p>
          <w:p w14:paraId="183E507D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559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mimovládne neziskové organizácie, </w:t>
            </w:r>
          </w:p>
          <w:p w14:paraId="29A2996A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78643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školy, </w:t>
            </w:r>
          </w:p>
          <w:p w14:paraId="5DE42E5B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9525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uchádzači o zamestnanie, </w:t>
            </w:r>
          </w:p>
          <w:p w14:paraId="15D33167" w14:textId="77777777" w:rsidR="00A837D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24306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37D0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užívatelia služieb, </w:t>
            </w:r>
          </w:p>
          <w:p w14:paraId="63FA494C" w14:textId="77777777" w:rsidR="008D1E30" w:rsidRPr="00F73E6D" w:rsidRDefault="00681FE0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pacing w:val="-4"/>
                  <w:sz w:val="24"/>
                  <w:szCs w:val="24"/>
                </w:rPr>
                <w:id w:val="-19495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723" w:rsidRPr="00F73E6D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5341D" w:rsidRPr="00F73E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5723" w:rsidRPr="00F73E6D">
              <w:rPr>
                <w:rFonts w:ascii="Times New Roman" w:hAnsi="Times New Roman"/>
                <w:spacing w:val="-4"/>
                <w:sz w:val="24"/>
                <w:szCs w:val="24"/>
              </w:rPr>
              <w:t>iné, uveďte:</w:t>
            </w:r>
          </w:p>
          <w:p w14:paraId="3F550BA6" w14:textId="13DAC8F8" w:rsidR="00446431" w:rsidRPr="00F73E6D" w:rsidRDefault="00446431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73E6D">
              <w:rPr>
                <w:rFonts w:ascii="Times New Roman" w:hAnsi="Times New Roman"/>
                <w:spacing w:val="-4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35341D" w:rsidRPr="00ED27E8" w14:paraId="72E28215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466A9317" w14:textId="16DC6774" w:rsidR="0035341D" w:rsidRPr="00ED27E8" w:rsidRDefault="0035341D" w:rsidP="00406FE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Aktivity projektu </w:t>
            </w:r>
            <w:r w:rsidRPr="00ED27E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 w:rsidR="00E563D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označte</w:t>
            </w:r>
            <w:r w:rsidRPr="00ED27E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  <w:r w:rsidR="00FD17D2" w:rsidRPr="00ED27E8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627" w:type="dxa"/>
          </w:tcPr>
          <w:p w14:paraId="02ACDD9F" w14:textId="51BE30DE" w:rsidR="0035341D" w:rsidRPr="00ED27E8" w:rsidRDefault="00F15F2B" w:rsidP="00ED27E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5341D" w:rsidRPr="00ED27E8">
              <w:rPr>
                <w:rFonts w:ascii="Times New Roman" w:hAnsi="Times New Roman"/>
                <w:b/>
              </w:rPr>
              <w:t>. Aktivity zamerané na podporu regionálneho rozvoja formou:</w:t>
            </w:r>
          </w:p>
          <w:p w14:paraId="3CBED1D0" w14:textId="3D206BAD" w:rsidR="0035341D" w:rsidRPr="00ED27E8" w:rsidRDefault="00681FE0" w:rsidP="00ED27E8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581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5341D" w:rsidRPr="00ED27E8">
              <w:rPr>
                <w:rFonts w:ascii="Times New Roman" w:hAnsi="Times New Roman"/>
              </w:rPr>
              <w:t xml:space="preserve"> </w:t>
            </w:r>
            <w:r w:rsidR="00F15F2B">
              <w:rPr>
                <w:rFonts w:ascii="Times New Roman" w:hAnsi="Times New Roman"/>
              </w:rPr>
              <w:t>1</w:t>
            </w:r>
            <w:r w:rsidR="0035341D" w:rsidRPr="00ED27E8">
              <w:rPr>
                <w:rFonts w:ascii="Times New Roman" w:hAnsi="Times New Roman"/>
              </w:rPr>
              <w:t>.1 vytvárania partnerstiev a spolupráce so sociálno-ekonomickými partnermi v oblasti regionálneho rozvoja;</w:t>
            </w:r>
          </w:p>
          <w:p w14:paraId="7F83EE9D" w14:textId="4D6A3389" w:rsidR="0035341D" w:rsidRPr="00ED27E8" w:rsidRDefault="00681FE0" w:rsidP="00ED27E8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727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1</w:t>
            </w:r>
            <w:r w:rsidR="0035341D" w:rsidRPr="00ED27E8">
              <w:rPr>
                <w:rFonts w:ascii="Times New Roman" w:hAnsi="Times New Roman"/>
              </w:rPr>
              <w:t>.2 uľahčenia a podpory najmä územnej spolupráce vrátane jednej alebo viacerých foriem regionálnej, cezhraničnej, nadnárodnej a medziregionálnej spolupráce a využívaním príkladov dobrej praxe.</w:t>
            </w:r>
          </w:p>
          <w:p w14:paraId="0365EAA9" w14:textId="36D2B3E4" w:rsidR="0035341D" w:rsidRPr="00ED27E8" w:rsidRDefault="00F15F2B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5341D" w:rsidRPr="00ED27E8">
              <w:rPr>
                <w:rFonts w:ascii="Times New Roman" w:hAnsi="Times New Roman"/>
                <w:b/>
              </w:rPr>
              <w:t>. Príprava a/alebo realizácia inovatívnych a pilotných projektov zameraných na:</w:t>
            </w:r>
          </w:p>
          <w:p w14:paraId="77E7FEFA" w14:textId="1D62858B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3776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5341D" w:rsidRPr="00ED27E8">
              <w:rPr>
                <w:rFonts w:ascii="Times New Roman" w:hAnsi="Times New Roman"/>
              </w:rPr>
              <w:t xml:space="preserve"> </w:t>
            </w:r>
            <w:r w:rsidR="00F15F2B">
              <w:rPr>
                <w:rFonts w:ascii="Times New Roman" w:hAnsi="Times New Roman"/>
              </w:rPr>
              <w:t>2</w:t>
            </w:r>
            <w:r w:rsidR="0035341D" w:rsidRPr="00ED27E8">
              <w:rPr>
                <w:rFonts w:ascii="Times New Roman" w:hAnsi="Times New Roman"/>
              </w:rPr>
              <w:t>.1 komplexné využívanie vnútorného rozvojového potenciálu územia - prírodných, kultúrnych, materiálnych, finančných, ľudských a inštitucionálnych zdrojov;</w:t>
            </w:r>
          </w:p>
          <w:p w14:paraId="1A2DB5C2" w14:textId="16A4D369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090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>.2 rozvoj ľudských zdrojov vrátane zvyšovania vzdelanostnej úrovne, kvalifikácie a zlepšovania prípravy detí a mladých dospelých na trh práce;</w:t>
            </w:r>
          </w:p>
          <w:p w14:paraId="66A28D8B" w14:textId="2B277F87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690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>.3 predchádzanie sociálneho vylúčenia a zmierňovanie jeho negatívnych dôsledkov, podporu rovnosti príležitostí na trhu práce a podporu znevýhodnených komunít;</w:t>
            </w:r>
          </w:p>
          <w:p w14:paraId="051D04F0" w14:textId="64AF2A52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40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 xml:space="preserve">.4 zlepšenie a rozvoj sociálnej infraštruktúry regiónu; </w:t>
            </w:r>
          </w:p>
          <w:p w14:paraId="45530CD5" w14:textId="152DA752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1536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 xml:space="preserve">.5 rozvoj cestovného ruchu; </w:t>
            </w:r>
          </w:p>
          <w:p w14:paraId="1E201036" w14:textId="22BA64E8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25694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7D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 xml:space="preserve">.6 zachovanie identity a rozvoj kultúry a starostlivosť o kultúrne dedičstvo regiónov a sídiel; </w:t>
            </w:r>
          </w:p>
          <w:p w14:paraId="4F1AB05F" w14:textId="3FE2AF0A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255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>.7 rozvoj pôdohospodárstva a rozvoj vidieka, rozvoj vidieckych oblastí a zvyšovanie kvality života na vidieku;</w:t>
            </w:r>
          </w:p>
          <w:p w14:paraId="4DED14A9" w14:textId="753A0838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680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5F2B">
              <w:rPr>
                <w:rFonts w:ascii="Times New Roman" w:hAnsi="Times New Roman"/>
              </w:rPr>
              <w:t xml:space="preserve"> 2</w:t>
            </w:r>
            <w:r w:rsidR="0035341D" w:rsidRPr="00ED27E8">
              <w:rPr>
                <w:rFonts w:ascii="Times New Roman" w:hAnsi="Times New Roman"/>
              </w:rPr>
              <w:t>.8 ochranu prírody, efektívne využívanie prírodných zdrojov regiónu a využívanie alternatívnych zdrojov energie;</w:t>
            </w:r>
          </w:p>
          <w:p w14:paraId="1B3E83AB" w14:textId="77D018D8" w:rsidR="0035341D" w:rsidRPr="00ED27E8" w:rsidRDefault="00681FE0" w:rsidP="00ED27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5772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5341D" w:rsidRPr="00ED27E8">
              <w:rPr>
                <w:rFonts w:ascii="Times New Roman" w:hAnsi="Times New Roman"/>
              </w:rPr>
              <w:t xml:space="preserve"> </w:t>
            </w:r>
            <w:r w:rsidR="00F15F2B">
              <w:rPr>
                <w:rFonts w:ascii="Times New Roman" w:hAnsi="Times New Roman"/>
              </w:rPr>
              <w:t>2</w:t>
            </w:r>
            <w:r w:rsidR="0035341D" w:rsidRPr="00ED27E8">
              <w:rPr>
                <w:rFonts w:ascii="Times New Roman" w:hAnsi="Times New Roman"/>
              </w:rPr>
              <w:t>.9 budovanie a posilňovanie štruktúr občianskej spoločnosti, rozvoj prosociálneho správania obyvateľstva;</w:t>
            </w:r>
          </w:p>
          <w:p w14:paraId="484DFCA8" w14:textId="516BC4EB" w:rsidR="0035341D" w:rsidRPr="00ED27E8" w:rsidRDefault="00681FE0" w:rsidP="00F15F2B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0669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41D" w:rsidRPr="00ED27E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5341D" w:rsidRPr="00ED27E8">
              <w:rPr>
                <w:rFonts w:ascii="Times New Roman" w:hAnsi="Times New Roman"/>
              </w:rPr>
              <w:t xml:space="preserve"> </w:t>
            </w:r>
            <w:r w:rsidR="00F15F2B">
              <w:rPr>
                <w:rFonts w:ascii="Times New Roman" w:hAnsi="Times New Roman"/>
              </w:rPr>
              <w:t>2</w:t>
            </w:r>
            <w:r w:rsidR="0035341D" w:rsidRPr="00ED27E8">
              <w:rPr>
                <w:rFonts w:ascii="Times New Roman" w:hAnsi="Times New Roman"/>
              </w:rPr>
              <w:t>.10 rozvoj multikultúrnej spoločnosti v regióne vrátane multikultúrneho dialógu, spolupráce a tolerancie v regiónoch a sídlach.</w:t>
            </w:r>
          </w:p>
        </w:tc>
      </w:tr>
      <w:tr w:rsidR="00E563D6" w:rsidRPr="00ED27E8" w14:paraId="010D8BF3" w14:textId="77777777" w:rsidTr="00681FE0">
        <w:trPr>
          <w:trHeight w:val="20"/>
        </w:trPr>
        <w:tc>
          <w:tcPr>
            <w:tcW w:w="3837" w:type="dxa"/>
            <w:vAlign w:val="center"/>
          </w:tcPr>
          <w:p w14:paraId="5A2FC068" w14:textId="3CC0F8E5" w:rsidR="00E563D6" w:rsidRPr="008364E8" w:rsidRDefault="00E563D6" w:rsidP="00681FE0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Miesto realizácie projektu</w:t>
            </w:r>
            <w:r w:rsidR="009C6E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74F54965" w14:textId="087A26E3" w:rsidR="00E563D6" w:rsidRPr="00797D48" w:rsidRDefault="00797D48" w:rsidP="00681FE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97D48">
              <w:rPr>
                <w:rFonts w:ascii="Times New Roman" w:hAnsi="Times New Roman"/>
                <w:spacing w:val="-4"/>
                <w:sz w:val="24"/>
                <w:szCs w:val="24"/>
              </w:rPr>
              <w:t>Obec Trstín, Mikroregión nad Holeškou</w:t>
            </w:r>
          </w:p>
        </w:tc>
      </w:tr>
      <w:tr w:rsidR="008364E8" w:rsidRPr="00ED27E8" w14:paraId="2414F0BE" w14:textId="77777777" w:rsidTr="00681FE0">
        <w:trPr>
          <w:trHeight w:val="20"/>
        </w:trPr>
        <w:tc>
          <w:tcPr>
            <w:tcW w:w="3837" w:type="dxa"/>
            <w:vAlign w:val="center"/>
          </w:tcPr>
          <w:p w14:paraId="58611F03" w14:textId="09B6108A" w:rsidR="008364E8" w:rsidRPr="008364E8" w:rsidRDefault="008364E8" w:rsidP="00681FE0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64E8">
              <w:rPr>
                <w:rFonts w:ascii="Times New Roman" w:hAnsi="Times New Roman"/>
                <w:bCs/>
                <w:sz w:val="24"/>
                <w:szCs w:val="24"/>
              </w:rPr>
              <w:t>Katastrálne územie, parcelné čísla a údaje o stavbe</w:t>
            </w:r>
            <w:r w:rsidRPr="008364E8">
              <w:rPr>
                <w:rStyle w:val="Odkaznavysvetlivku"/>
                <w:rFonts w:ascii="Times New Roman" w:hAnsi="Times New Roman"/>
                <w:bCs/>
                <w:sz w:val="24"/>
                <w:szCs w:val="24"/>
              </w:rPr>
              <w:endnoteReference w:id="1"/>
            </w:r>
            <w:r w:rsidRPr="008364E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20EFA18A" w14:textId="5132833E" w:rsidR="008364E8" w:rsidRPr="005C3C9F" w:rsidRDefault="00797D48" w:rsidP="00681FE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</w:t>
            </w:r>
          </w:p>
        </w:tc>
      </w:tr>
      <w:tr w:rsidR="0035341D" w:rsidRPr="00ED27E8" w14:paraId="3664E45A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76A563A6" w14:textId="767F92D8" w:rsidR="0035341D" w:rsidRPr="00ED27E8" w:rsidRDefault="0035341D" w:rsidP="000570A9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hAnsi="Times New Roman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Súlad </w:t>
            </w:r>
            <w:r w:rsidR="00DA68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hlavného cieľa a špecifických cieľov </w:t>
            </w: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projektu so sektorovými a rozvojovými plánmi na území realizácie projektu: </w:t>
            </w:r>
          </w:p>
        </w:tc>
        <w:tc>
          <w:tcPr>
            <w:tcW w:w="5627" w:type="dxa"/>
            <w:vAlign w:val="center"/>
          </w:tcPr>
          <w:p w14:paraId="2FEB887D" w14:textId="02A887FF" w:rsidR="00797D48" w:rsidRDefault="00797D48" w:rsidP="00797D48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Predmetný projekt a jeho ciele sú v súlade s PHSR TTSK 2014 -2020, konkrétne so špecifickým cieľom 2.5 – Zachovanie kultúrneho dedičstva a zabezpečenie rozvoja kultúry, kultúrnych a osvetových zariadení, zachovanie kultúrnych a ľudových tr</w:t>
            </w:r>
            <w:r w:rsidR="005379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adícií kraja a jeho opatrením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 2.5.7 – Subvencia pri zachovaní kultúrneho dedičstva. </w:t>
            </w:r>
          </w:p>
          <w:p w14:paraId="79DFE738" w14:textId="77777777" w:rsidR="00797D48" w:rsidRDefault="00797D48" w:rsidP="00797D48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1DB637F2" w14:textId="77777777" w:rsidR="00797D48" w:rsidRDefault="00797D48" w:rsidP="00797D48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Predmetný projekt je tiež v súlade so Stratégiou rozvoja vidieka na území TTSK, a to so špecifickým cieľom opatrenia 2.2.2 – Obnoviť kultúrne dedičstvo a prírodný potenciál  a so Stratégiou rozvoja kultúry TTSK, konkrétne so zámerom Udržané a systematicky rozvíjané kultúrno – osvetové aktivity a činnosti v obciach a mestách Trnavského samosprávneho kraja. </w:t>
            </w:r>
          </w:p>
          <w:p w14:paraId="41ECD99B" w14:textId="77777777" w:rsidR="0035341D" w:rsidRPr="00ED27E8" w:rsidRDefault="0035341D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5341D" w:rsidRPr="00ED27E8" w14:paraId="5B896C5D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579930C1" w14:textId="278D6F65" w:rsidR="0035341D" w:rsidRPr="00ED27E8" w:rsidRDefault="004D358B" w:rsidP="00ED27E8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Výstupové ukazovatele</w:t>
            </w:r>
            <w:r w:rsidR="0035341D"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5627" w:type="dxa"/>
            <w:vAlign w:val="center"/>
          </w:tcPr>
          <w:p w14:paraId="3C718379" w14:textId="77777777" w:rsidR="0053797A" w:rsidRPr="000F2198" w:rsidRDefault="0053797A" w:rsidP="0053797A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198">
              <w:rPr>
                <w:rFonts w:ascii="Times New Roman" w:hAnsi="Times New Roman"/>
                <w:sz w:val="24"/>
                <w:szCs w:val="24"/>
              </w:rPr>
              <w:t>Počet objektov zaradených do využívania potenciálu územia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1</w:t>
            </w:r>
          </w:p>
          <w:p w14:paraId="69CD956B" w14:textId="77777777" w:rsidR="0053797A" w:rsidRDefault="0053797A" w:rsidP="0053797A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14:paraId="2AF030B5" w14:textId="0EEA0942" w:rsidR="0035341D" w:rsidRPr="0053797A" w:rsidRDefault="0053797A" w:rsidP="0053797A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7A">
              <w:rPr>
                <w:rFonts w:ascii="Times New Roman" w:hAnsi="Times New Roman"/>
                <w:sz w:val="24"/>
                <w:szCs w:val="24"/>
              </w:rPr>
              <w:t>Počet vytvorených informačných zdrojov: 1</w:t>
            </w:r>
          </w:p>
        </w:tc>
      </w:tr>
      <w:tr w:rsidR="0035341D" w:rsidRPr="00ED27E8" w14:paraId="08019DCF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420F191B" w14:textId="77777777" w:rsidR="0035341D" w:rsidRPr="00ED27E8" w:rsidRDefault="0035341D" w:rsidP="00ED27E8">
            <w:pPr>
              <w:shd w:val="clear" w:color="auto" w:fill="FFFFFF"/>
              <w:spacing w:after="0" w:line="240" w:lineRule="auto"/>
              <w:ind w:left="5" w:right="466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>Udržateľnosť projektu :</w:t>
            </w:r>
          </w:p>
          <w:p w14:paraId="593ECC71" w14:textId="091D1970" w:rsidR="0035341D" w:rsidRPr="00ED27E8" w:rsidRDefault="00ED27E8" w:rsidP="00ED27E8">
            <w:pPr>
              <w:shd w:val="clear" w:color="auto" w:fill="FFFFFF"/>
              <w:spacing w:after="0" w:line="240" w:lineRule="auto"/>
              <w:ind w:left="284" w:right="46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</w:t>
            </w:r>
            <w:r w:rsidR="00ED4570" w:rsidRPr="00ED27E8">
              <w:rPr>
                <w:rFonts w:ascii="Times New Roman" w:hAnsi="Times New Roman"/>
                <w:spacing w:val="-2"/>
                <w:sz w:val="24"/>
                <w:szCs w:val="24"/>
              </w:rPr>
              <w:t>finančná</w:t>
            </w:r>
          </w:p>
        </w:tc>
        <w:tc>
          <w:tcPr>
            <w:tcW w:w="5627" w:type="dxa"/>
            <w:vAlign w:val="center"/>
          </w:tcPr>
          <w:p w14:paraId="59360243" w14:textId="49136106" w:rsidR="0035341D" w:rsidRPr="00ED27E8" w:rsidRDefault="0053797A" w:rsidP="0053797A">
            <w:pPr>
              <w:tabs>
                <w:tab w:val="left" w:pos="9072"/>
                <w:tab w:val="left" w:pos="9214"/>
                <w:tab w:val="left" w:pos="9312"/>
              </w:tabs>
              <w:spacing w:before="259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45FE">
              <w:rPr>
                <w:rFonts w:ascii="Times New Roman" w:hAnsi="Times New Roman"/>
                <w:sz w:val="24"/>
                <w:szCs w:val="24"/>
              </w:rPr>
              <w:t>Finančná udržateľnosť je zjavná aj z deklarovaných výstupov v rámci predk</w:t>
            </w:r>
            <w:r>
              <w:rPr>
                <w:rFonts w:ascii="Times New Roman" w:hAnsi="Times New Roman"/>
                <w:sz w:val="24"/>
                <w:szCs w:val="24"/>
              </w:rPr>
              <w:t>ladanej Žiadosti (</w:t>
            </w:r>
            <w:r w:rsidRPr="006445FE">
              <w:rPr>
                <w:rFonts w:ascii="Times New Roman" w:hAnsi="Times New Roman"/>
                <w:sz w:val="24"/>
                <w:szCs w:val="24"/>
              </w:rPr>
              <w:t>tab.: Príjmy žiadateľa), kde RRA disponuje postačujúcimi vlastnými zdrojmi finančného krytia jednotlivých úloh a aktivít smerujúcich k podpore tak regionálneho, ako aj lokálneho rozvoja. Z rozpočtov predchádzajúcich rokov vidieť, že RRA vytvára vlastné zdroje na implementovanie aktivít RR, a to z dlhodobého hľadiska udržateľnosti je predmetné finančné krytie plne použiteľné pre potreby implementácie jednotlivých aktivít tohto projektu smerujúcich k naplneniu stanovených cieľov a úloh.</w:t>
            </w:r>
          </w:p>
        </w:tc>
      </w:tr>
      <w:tr w:rsidR="00ED27E8" w:rsidRPr="00ED27E8" w14:paraId="2FA0F04E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60620EED" w14:textId="789AAEAD" w:rsidR="00ED27E8" w:rsidRPr="00ED27E8" w:rsidRDefault="00ED27E8" w:rsidP="00ED27E8">
            <w:pPr>
              <w:shd w:val="clear" w:color="auto" w:fill="FFFFFF"/>
              <w:spacing w:after="0" w:line="240" w:lineRule="auto"/>
              <w:ind w:left="284" w:right="7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</w:t>
            </w: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>inštitucionálna</w:t>
            </w:r>
          </w:p>
        </w:tc>
        <w:tc>
          <w:tcPr>
            <w:tcW w:w="5627" w:type="dxa"/>
            <w:vAlign w:val="center"/>
          </w:tcPr>
          <w:p w14:paraId="1AB637EB" w14:textId="77777777" w:rsidR="0053797A" w:rsidRDefault="0053797A" w:rsidP="0053797A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E38638" w14:textId="5B8BEC5D" w:rsidR="00ED27E8" w:rsidRPr="00ED27E8" w:rsidRDefault="0053797A" w:rsidP="0053797A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Úspešná realizácia projektu 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>bude mať pozitívny dopad na hospodársky a sociálny rozvoj na lokálnej a regionálnej úrovni, vytvorí možnosti pre zlepšenie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rozvoj potenciálu vidieka a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zintenzívni spoluprácu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 medzi zainteresovanými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aktérmi. 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Projektom sa okrem iného dosiahne aj lepšia prezentácia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 publicita nielen žiadateľa,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RRA, a ostatných subjektov participujúcich na RR. Zlepší sa tiež odborná a technická pripravenosť územných aktérov RR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 pre ďalšie významné aktivity a </w:t>
            </w:r>
            <w:r>
              <w:rPr>
                <w:rFonts w:ascii="Times New Roman" w:hAnsi="Times New Roman"/>
                <w:sz w:val="24"/>
                <w:szCs w:val="24"/>
              </w:rPr>
              <w:t>úlohy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 v oblasti </w:t>
            </w:r>
            <w:r>
              <w:rPr>
                <w:rFonts w:ascii="Times New Roman" w:hAnsi="Times New Roman"/>
                <w:sz w:val="24"/>
                <w:szCs w:val="24"/>
              </w:rPr>
              <w:t>podpory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RRA je subjektom RR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zabezpečujúcim jeho podporu formou inštitucionálnej koordinácie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 hospodárskeho,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sociálneho a kultúrneho rozvoja, 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čo znamená, že bude musieť napredovať a rozširovať svoje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úlohy, 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 xml:space="preserve">aktivity a činnosti rovnako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aj 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>po jeho ukončení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implementácie predkladaného projektu</w:t>
            </w:r>
            <w:r w:rsidRPr="00E84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27E8" w:rsidRPr="00ED27E8" w14:paraId="57D9D696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5F19957B" w14:textId="00744F91" w:rsidR="00ED27E8" w:rsidRPr="00ED27E8" w:rsidRDefault="00ED27E8" w:rsidP="00ED27E8">
            <w:pPr>
              <w:shd w:val="clear" w:color="auto" w:fill="FFFFFF"/>
              <w:spacing w:after="0" w:line="240" w:lineRule="auto"/>
              <w:ind w:left="284" w:right="7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 </w:t>
            </w: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využiteľnosť výsledkov, </w:t>
            </w:r>
            <w:proofErr w:type="spellStart"/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>multiplikačný</w:t>
            </w:r>
            <w:proofErr w:type="spellEnd"/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efekt, </w:t>
            </w:r>
            <w:proofErr w:type="spellStart"/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>inovatívnosť</w:t>
            </w:r>
            <w:proofErr w:type="spellEnd"/>
          </w:p>
        </w:tc>
        <w:tc>
          <w:tcPr>
            <w:tcW w:w="5627" w:type="dxa"/>
            <w:vAlign w:val="center"/>
          </w:tcPr>
          <w:p w14:paraId="748938F0" w14:textId="249294D6" w:rsidR="0053797A" w:rsidRDefault="0053797A" w:rsidP="0053797A">
            <w:pPr>
              <w:tabs>
                <w:tab w:val="left" w:pos="9072"/>
                <w:tab w:val="left" w:pos="9214"/>
                <w:tab w:val="left" w:pos="9312"/>
              </w:tabs>
              <w:spacing w:before="259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 rámci </w:t>
            </w:r>
            <w:r w:rsidRPr="00A82F4A">
              <w:rPr>
                <w:rFonts w:ascii="Times New Roman" w:hAnsi="Times New Roman"/>
                <w:sz w:val="24"/>
                <w:szCs w:val="24"/>
              </w:rPr>
              <w:t>využiteľnosti outputov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predkladaného projektu možno konštatovať, že jeho implementáciou sa jednak naviaže už prebiehajúce aktivity regiónu na zachovane kultúrneho a historického dedičstva a na už niekoľkoročnú spoluprácu obcí v rámci podpory RR. Z hľadiska využiteľnosti výsledkov je dôležité zachovanie historického potenciálu a kultúry v regióne pre ďalšie generácie a zvýšenie povedomia v oblasti histórie a kultúry medzi obyvateľmi regiónu. Zároveň možno predpokladať pokračovanie projektu, nakoľko všetky vytvorené výstupy projektu budú motivačné pre ďalšie zabezpečenie rozvoja a zachovanie historického a kultúrneho dedičstva regiónu. </w:t>
            </w:r>
          </w:p>
          <w:p w14:paraId="4F5A4606" w14:textId="05C16392" w:rsidR="0053797A" w:rsidRDefault="0053797A" w:rsidP="0053797A">
            <w:pPr>
              <w:tabs>
                <w:tab w:val="left" w:pos="9072"/>
                <w:tab w:val="left" w:pos="9214"/>
                <w:tab w:val="left" w:pos="9312"/>
              </w:tabs>
              <w:spacing w:before="259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A82F4A">
              <w:rPr>
                <w:rFonts w:ascii="Times New Roman" w:hAnsi="Times New Roman"/>
                <w:sz w:val="24"/>
                <w:szCs w:val="24"/>
              </w:rPr>
              <w:t>Multiplikačný</w:t>
            </w:r>
            <w:proofErr w:type="spellEnd"/>
            <w:r w:rsidRPr="00A82F4A">
              <w:rPr>
                <w:rFonts w:ascii="Times New Roman" w:hAnsi="Times New Roman"/>
                <w:sz w:val="24"/>
                <w:szCs w:val="24"/>
              </w:rPr>
              <w:t xml:space="preserve"> efekt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predkladaného projektu možno vidieť vo využívaní jednotlivých výsledkov projektu 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 teda zachovávaním historického a kultúrneho dedičstva a podpore regionálneho rozvoja, čím dôjde k naplneniu ďalších cieľov práve v oblasti podpory RR na danom území. Výsledky projektu prispejú k zvýšeniu povedomia medzi aktérmi RR, a budú ich motivovať k ďalším rozvojovým projektom, a to nie len v oblasti histórie a kultúry ale i napr. v oblasti rozvoja služieb v cestovnom ruchu. Vďaka realizácií predkladaného projektu sa teda začnú ďalšie rozvojové aktivity v regióne – čím je zabezpečený dosah projektu a jeho aktivít v širšom kontexte rozvojových možností subjektov RR v danom území.</w:t>
            </w:r>
          </w:p>
          <w:p w14:paraId="553D3151" w14:textId="77777777" w:rsidR="0053797A" w:rsidRDefault="0053797A" w:rsidP="0053797A">
            <w:pPr>
              <w:tabs>
                <w:tab w:val="left" w:pos="9072"/>
                <w:tab w:val="left" w:pos="9214"/>
                <w:tab w:val="left" w:pos="9312"/>
              </w:tabs>
              <w:spacing w:before="259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62505E">
              <w:rPr>
                <w:rFonts w:ascii="Times New Roman" w:hAnsi="Times New Roman"/>
                <w:sz w:val="24"/>
                <w:szCs w:val="24"/>
              </w:rPr>
              <w:t>Inovatívnosť</w:t>
            </w:r>
            <w:proofErr w:type="spellEnd"/>
            <w:r w:rsidRPr="0062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projektu vidieť v možnosti uplatňovania nových prvkov pre potreby efektívnejšieho riešenia aktivít, pričom sa uplatnia prvky  tzv. „dobrej praxe“ („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“), nakoľko projekt je určitým spôsobom prepojený s činnosťami a úlohami RRA minulých období. Rovnako sa budú využívať nové postupy a inovatívne prvky pre potreby efektívnejšieho  zabezpečenia realizácie  aktivít. </w:t>
            </w:r>
          </w:p>
          <w:p w14:paraId="73888817" w14:textId="77777777" w:rsidR="00ED27E8" w:rsidRPr="00ED27E8" w:rsidRDefault="00ED27E8" w:rsidP="00ED27E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5341D" w:rsidRPr="00ED27E8" w14:paraId="3935B17C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410FBD08" w14:textId="77777777" w:rsidR="0035341D" w:rsidRPr="00ED27E8" w:rsidRDefault="0035341D" w:rsidP="00ED27E8">
            <w:pPr>
              <w:shd w:val="clear" w:color="auto" w:fill="FFFFFF"/>
              <w:spacing w:after="0" w:line="240" w:lineRule="auto"/>
              <w:ind w:left="5" w:right="7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Publicita projektu</w:t>
            </w:r>
            <w:r w:rsidRPr="00ED27E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21F79C41" w14:textId="77777777" w:rsidR="0053797A" w:rsidRDefault="0053797A" w:rsidP="0053797A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14:paraId="13D3A38A" w14:textId="333235BE" w:rsidR="0035341D" w:rsidRPr="00ED27E8" w:rsidRDefault="0053797A" w:rsidP="0053797A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Publicita projektu bude zabezpečená cestou dostupných a poskytovateľom vymedzených informačných kanálov, či už v printovej, alebo elektronickej podobe publicity, formou článkov, príspevkov, diskusií, rozhovorov, web publicita projektu na stránke RRA ako aj stránkach dotknutých aktérov RR (spolupráca RRA s cieľovými skupinami projektu).</w:t>
            </w:r>
          </w:p>
        </w:tc>
      </w:tr>
      <w:tr w:rsidR="0035341D" w:rsidRPr="00ED27E8" w14:paraId="32FF19F7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5BE6BF68" w14:textId="55B87ED2" w:rsidR="0035341D" w:rsidRPr="00ED27E8" w:rsidRDefault="0035341D" w:rsidP="00C63289">
            <w:pPr>
              <w:shd w:val="clear" w:color="auto" w:fill="FFFFFF"/>
              <w:spacing w:after="0" w:line="240" w:lineRule="auto"/>
              <w:ind w:left="5" w:right="7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Identifikácia partnera podľa prílohy č. </w:t>
            </w:r>
            <w:r w:rsidR="00C63289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D95E10" w:rsidRPr="00ED27E8">
              <w:rPr>
                <w:rStyle w:val="Odkaznavysvetlivku"/>
                <w:rFonts w:ascii="Times New Roman" w:hAnsi="Times New Roman"/>
                <w:spacing w:val="-2"/>
                <w:sz w:val="24"/>
                <w:szCs w:val="24"/>
              </w:rPr>
              <w:endnoteReference w:id="2"/>
            </w:r>
            <w:r w:rsidRPr="00ED27E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3E49DF0F" w14:textId="1C6004F7" w:rsidR="0035341D" w:rsidRPr="00ED27E8" w:rsidRDefault="0053797A" w:rsidP="00ED27E8">
            <w:pPr>
              <w:shd w:val="clear" w:color="auto" w:fill="FFFFFF"/>
              <w:tabs>
                <w:tab w:val="left" w:pos="9072"/>
                <w:tab w:val="left" w:pos="9214"/>
                <w:tab w:val="left" w:pos="9312"/>
              </w:tabs>
              <w:spacing w:before="259" w:after="0" w:line="240" w:lineRule="auto"/>
              <w:ind w:righ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35341D" w:rsidRPr="00ED27E8" w14:paraId="0602E2EA" w14:textId="77777777" w:rsidTr="00ED27E8">
        <w:trPr>
          <w:trHeight w:val="20"/>
        </w:trPr>
        <w:tc>
          <w:tcPr>
            <w:tcW w:w="3837" w:type="dxa"/>
            <w:vAlign w:val="center"/>
          </w:tcPr>
          <w:p w14:paraId="7F93F88F" w14:textId="5BF6F256" w:rsidR="0035341D" w:rsidRPr="00ED27E8" w:rsidRDefault="00DA68A5" w:rsidP="00ED27E8">
            <w:pPr>
              <w:shd w:val="clear" w:color="auto" w:fill="FFFFFF"/>
              <w:spacing w:after="0" w:line="240" w:lineRule="auto"/>
              <w:ind w:left="5" w:right="77" w:hanging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Manažment projektu</w:t>
            </w:r>
            <w:r w:rsidR="0035341D" w:rsidRPr="00ED27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štruktúra </w:t>
            </w:r>
            <w:r w:rsidR="00FD17D2" w:rsidRPr="00ED27E8">
              <w:rPr>
                <w:rFonts w:ascii="Times New Roman" w:hAnsi="Times New Roman"/>
                <w:spacing w:val="-2"/>
                <w:sz w:val="24"/>
                <w:szCs w:val="24"/>
              </w:rPr>
              <w:t>riadenia 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štruktúra a </w:t>
            </w:r>
            <w:r w:rsidR="00FD17D2" w:rsidRPr="00ED27E8">
              <w:rPr>
                <w:rFonts w:ascii="Times New Roman" w:hAnsi="Times New Roman"/>
                <w:spacing w:val="-2"/>
                <w:sz w:val="24"/>
                <w:szCs w:val="24"/>
              </w:rPr>
              <w:t>zapojenie partnerov</w:t>
            </w:r>
            <w:r w:rsidR="0035341D" w:rsidRPr="00ED27E8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627" w:type="dxa"/>
            <w:vAlign w:val="center"/>
          </w:tcPr>
          <w:p w14:paraId="2844827B" w14:textId="77777777" w:rsidR="0053797A" w:rsidRDefault="0053797A" w:rsidP="0053797A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B3925D" w14:textId="674E74F5" w:rsidR="0035341D" w:rsidRPr="00ED27E8" w:rsidRDefault="0053797A" w:rsidP="0053797A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Manažment / Riadenie projektu bude zabezpečený vysoko profesionálnym prístupom zo strany jednotlivých odborných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profesných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kapacít, ktorými disponuje RRA Trnava-Hlohovec-Piešťany, či už v štruktúre interných zamestnancov (Ing. René Steiner, Ing. 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Karabčíková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Ing. Stanislava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Papánek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, alebo využitím služieb externého vysoko kvalifikovaného odborného personálu, ktorý sa bude svojou aktívnou činnosťou podieľať na realizácií a implementácii jednotlivých aktivít predkladaného projektu</w:t>
            </w:r>
          </w:p>
        </w:tc>
      </w:tr>
    </w:tbl>
    <w:p w14:paraId="37C7D86A" w14:textId="77777777" w:rsidR="00AD1EEF" w:rsidRPr="00ED27E8" w:rsidRDefault="00AD1EEF"/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7"/>
        <w:gridCol w:w="4451"/>
      </w:tblGrid>
      <w:tr w:rsidR="00FD338D" w:rsidRPr="00ED27E8" w14:paraId="37F41399" w14:textId="77777777" w:rsidTr="00DA68A5">
        <w:trPr>
          <w:trHeight w:val="1960"/>
        </w:trPr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63733" w14:textId="77777777" w:rsidR="00FD338D" w:rsidRPr="00ED27E8" w:rsidRDefault="00FD338D" w:rsidP="009117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04717" w14:textId="77777777" w:rsidR="00FD338D" w:rsidRPr="00ED27E8" w:rsidRDefault="00FD338D" w:rsidP="009117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8D" w:rsidRPr="00ED27E8" w14:paraId="77F7B5D7" w14:textId="77777777" w:rsidTr="00DA68A5">
        <w:trPr>
          <w:trHeight w:hRule="exact" w:val="445"/>
        </w:trPr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0B10C" w14:textId="77777777" w:rsidR="00FD338D" w:rsidRPr="00ED27E8" w:rsidRDefault="00FD338D" w:rsidP="0091178C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1"/>
                <w:sz w:val="24"/>
                <w:szCs w:val="24"/>
              </w:rPr>
              <w:t>Odtlačok pečiatky žiadateľa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4D262" w14:textId="77777777" w:rsidR="00FD338D" w:rsidRPr="00ED27E8" w:rsidRDefault="00FD338D" w:rsidP="0091178C">
            <w:pPr>
              <w:shd w:val="clear" w:color="auto" w:fill="FFFFFF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ED27E8">
              <w:rPr>
                <w:rFonts w:ascii="Times New Roman" w:hAnsi="Times New Roman"/>
                <w:spacing w:val="-1"/>
                <w:sz w:val="24"/>
                <w:szCs w:val="24"/>
              </w:rPr>
              <w:t>Podpis štatutárneho orgánu žiadateľa</w:t>
            </w:r>
          </w:p>
        </w:tc>
      </w:tr>
    </w:tbl>
    <w:p w14:paraId="7507FACE" w14:textId="77777777" w:rsidR="00FD338D" w:rsidRPr="00ED27E8" w:rsidRDefault="00FD338D"/>
    <w:sectPr w:rsidR="00FD338D" w:rsidRPr="00ED27E8" w:rsidSect="001809AF">
      <w:headerReference w:type="first" r:id="rId8"/>
      <w:endnotePr>
        <w:numFmt w:val="decimal"/>
      </w:endnotePr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7651B" w14:textId="77777777" w:rsidR="003562AC" w:rsidRDefault="003562AC" w:rsidP="007C7B48">
      <w:pPr>
        <w:spacing w:after="0" w:line="240" w:lineRule="auto"/>
      </w:pPr>
      <w:r>
        <w:separator/>
      </w:r>
    </w:p>
  </w:endnote>
  <w:endnote w:type="continuationSeparator" w:id="0">
    <w:p w14:paraId="0D262FFB" w14:textId="77777777" w:rsidR="003562AC" w:rsidRDefault="003562AC" w:rsidP="007C7B48">
      <w:pPr>
        <w:spacing w:after="0" w:line="240" w:lineRule="auto"/>
      </w:pPr>
      <w:r>
        <w:continuationSeparator/>
      </w:r>
    </w:p>
  </w:endnote>
  <w:endnote w:id="1">
    <w:p w14:paraId="5264790C" w14:textId="77777777" w:rsidR="00681FE0" w:rsidRPr="00F73E6D" w:rsidRDefault="00681FE0" w:rsidP="008364E8">
      <w:pPr>
        <w:pStyle w:val="Textvysvetlivky"/>
        <w:rPr>
          <w:rFonts w:ascii="Times New Roman" w:hAnsi="Times New Roman"/>
        </w:rPr>
      </w:pPr>
      <w:r w:rsidRPr="00F73E6D">
        <w:rPr>
          <w:rStyle w:val="Odkaznavysvetlivku"/>
          <w:rFonts w:ascii="Times New Roman" w:hAnsi="Times New Roman"/>
        </w:rPr>
        <w:endnoteRef/>
      </w:r>
      <w:r w:rsidRPr="00F73E6D">
        <w:rPr>
          <w:rFonts w:ascii="Times New Roman" w:hAnsi="Times New Roman"/>
        </w:rPr>
        <w:t xml:space="preserve"> </w:t>
      </w:r>
      <w:r w:rsidRPr="00F73E6D">
        <w:rPr>
          <w:rFonts w:ascii="Times New Roman" w:hAnsi="Times New Roman"/>
          <w:bCs/>
        </w:rPr>
        <w:t>uvádza sa ak žiadateľ požaduje dotáciu na stavebné alebo rekonštrukčné práce;</w:t>
      </w:r>
    </w:p>
  </w:endnote>
  <w:endnote w:id="2">
    <w:p w14:paraId="3A2E67C2" w14:textId="46FAF2D7" w:rsidR="00681FE0" w:rsidRPr="00F73E6D" w:rsidRDefault="00681FE0">
      <w:pPr>
        <w:pStyle w:val="Textvysvetlivky"/>
        <w:rPr>
          <w:rFonts w:ascii="Times New Roman" w:hAnsi="Times New Roman"/>
        </w:rPr>
      </w:pPr>
      <w:r w:rsidRPr="00F73E6D">
        <w:rPr>
          <w:rStyle w:val="Odkaznavysvetlivku"/>
          <w:rFonts w:ascii="Times New Roman" w:hAnsi="Times New Roman"/>
        </w:rPr>
        <w:endnoteRef/>
      </w:r>
      <w:r w:rsidRPr="00F73E6D">
        <w:rPr>
          <w:rFonts w:ascii="Times New Roman" w:hAnsi="Times New Roman"/>
        </w:rPr>
        <w:t xml:space="preserve"> </w:t>
      </w:r>
      <w:r w:rsidRPr="00F73E6D">
        <w:rPr>
          <w:rFonts w:ascii="Times New Roman" w:hAnsi="Times New Roman"/>
        </w:rPr>
        <w:t>vypĺňa sa v prípade ak žiadateľ predkladá vyhlásenie o partnerstve;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2E16D" w14:textId="77777777" w:rsidR="003562AC" w:rsidRDefault="003562AC" w:rsidP="007C7B48">
      <w:pPr>
        <w:spacing w:after="0" w:line="240" w:lineRule="auto"/>
      </w:pPr>
      <w:r>
        <w:separator/>
      </w:r>
    </w:p>
  </w:footnote>
  <w:footnote w:type="continuationSeparator" w:id="0">
    <w:p w14:paraId="545C238D" w14:textId="77777777" w:rsidR="003562AC" w:rsidRDefault="003562AC" w:rsidP="007C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C45B" w14:textId="6AF68327" w:rsidR="00681FE0" w:rsidRDefault="00681FE0" w:rsidP="00922057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 k žiadosti</w:t>
    </w:r>
  </w:p>
  <w:p w14:paraId="41B9AA27" w14:textId="77777777" w:rsidR="00681FE0" w:rsidRDefault="00681FE0" w:rsidP="0017043D">
    <w:pPr>
      <w:spacing w:after="0" w:line="240" w:lineRule="aut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779"/>
    <w:multiLevelType w:val="hybridMultilevel"/>
    <w:tmpl w:val="2D64D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ABF"/>
    <w:multiLevelType w:val="hybridMultilevel"/>
    <w:tmpl w:val="86E206E6"/>
    <w:lvl w:ilvl="0" w:tplc="041B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17012506"/>
    <w:multiLevelType w:val="hybridMultilevel"/>
    <w:tmpl w:val="31840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6A2A"/>
    <w:multiLevelType w:val="hybridMultilevel"/>
    <w:tmpl w:val="BE60DFB6"/>
    <w:lvl w:ilvl="0" w:tplc="9DDA5C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40230"/>
    <w:multiLevelType w:val="hybridMultilevel"/>
    <w:tmpl w:val="334E8E6A"/>
    <w:lvl w:ilvl="0" w:tplc="72DE13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355E5"/>
    <w:multiLevelType w:val="hybridMultilevel"/>
    <w:tmpl w:val="45FC672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3DA"/>
    <w:multiLevelType w:val="hybridMultilevel"/>
    <w:tmpl w:val="334E8E6A"/>
    <w:lvl w:ilvl="0" w:tplc="72DE13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6230B"/>
    <w:multiLevelType w:val="hybridMultilevel"/>
    <w:tmpl w:val="5680F7C6"/>
    <w:lvl w:ilvl="0" w:tplc="A9DE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00909"/>
    <w:multiLevelType w:val="hybridMultilevel"/>
    <w:tmpl w:val="8D1296DA"/>
    <w:lvl w:ilvl="0" w:tplc="0D34C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48"/>
    <w:rsid w:val="00050629"/>
    <w:rsid w:val="00051FBD"/>
    <w:rsid w:val="00052563"/>
    <w:rsid w:val="00054997"/>
    <w:rsid w:val="000570A9"/>
    <w:rsid w:val="000629FD"/>
    <w:rsid w:val="000663FC"/>
    <w:rsid w:val="00084B35"/>
    <w:rsid w:val="000B437F"/>
    <w:rsid w:val="000C166C"/>
    <w:rsid w:val="000D3D20"/>
    <w:rsid w:val="000D6EC9"/>
    <w:rsid w:val="00157B4B"/>
    <w:rsid w:val="0017043D"/>
    <w:rsid w:val="001809AF"/>
    <w:rsid w:val="00193C0B"/>
    <w:rsid w:val="001A1074"/>
    <w:rsid w:val="001A3BB0"/>
    <w:rsid w:val="001A50CC"/>
    <w:rsid w:val="0021490B"/>
    <w:rsid w:val="00225E1D"/>
    <w:rsid w:val="00260E71"/>
    <w:rsid w:val="00304763"/>
    <w:rsid w:val="00312EC6"/>
    <w:rsid w:val="00321C86"/>
    <w:rsid w:val="0035341D"/>
    <w:rsid w:val="003562AC"/>
    <w:rsid w:val="003762F6"/>
    <w:rsid w:val="003C1EB1"/>
    <w:rsid w:val="003D33D9"/>
    <w:rsid w:val="003D3985"/>
    <w:rsid w:val="003E344F"/>
    <w:rsid w:val="003E39D2"/>
    <w:rsid w:val="00406FEE"/>
    <w:rsid w:val="00415403"/>
    <w:rsid w:val="0042147A"/>
    <w:rsid w:val="00446431"/>
    <w:rsid w:val="00482EF8"/>
    <w:rsid w:val="004A4293"/>
    <w:rsid w:val="004D358B"/>
    <w:rsid w:val="004E5985"/>
    <w:rsid w:val="004F0DD5"/>
    <w:rsid w:val="00501C76"/>
    <w:rsid w:val="00504183"/>
    <w:rsid w:val="0053797A"/>
    <w:rsid w:val="00580B22"/>
    <w:rsid w:val="00583CD1"/>
    <w:rsid w:val="005856BB"/>
    <w:rsid w:val="00592156"/>
    <w:rsid w:val="00594B5E"/>
    <w:rsid w:val="005C3C9F"/>
    <w:rsid w:val="005D1A94"/>
    <w:rsid w:val="005E4CC2"/>
    <w:rsid w:val="005F000B"/>
    <w:rsid w:val="0060595E"/>
    <w:rsid w:val="00627ADF"/>
    <w:rsid w:val="00657036"/>
    <w:rsid w:val="00681FE0"/>
    <w:rsid w:val="006839B7"/>
    <w:rsid w:val="006B33DC"/>
    <w:rsid w:val="006C739A"/>
    <w:rsid w:val="006D648F"/>
    <w:rsid w:val="006E6D9C"/>
    <w:rsid w:val="0071267B"/>
    <w:rsid w:val="0071470C"/>
    <w:rsid w:val="00744BC3"/>
    <w:rsid w:val="00795E9F"/>
    <w:rsid w:val="00797D48"/>
    <w:rsid w:val="007A0307"/>
    <w:rsid w:val="007C3585"/>
    <w:rsid w:val="007C6F81"/>
    <w:rsid w:val="007C7B48"/>
    <w:rsid w:val="007D18F6"/>
    <w:rsid w:val="007D4A01"/>
    <w:rsid w:val="007E2B90"/>
    <w:rsid w:val="007E2DFD"/>
    <w:rsid w:val="007E6749"/>
    <w:rsid w:val="008364E8"/>
    <w:rsid w:val="00842571"/>
    <w:rsid w:val="00887B76"/>
    <w:rsid w:val="008D1E30"/>
    <w:rsid w:val="008F7002"/>
    <w:rsid w:val="00903C1D"/>
    <w:rsid w:val="00905CA6"/>
    <w:rsid w:val="00910B33"/>
    <w:rsid w:val="0091178C"/>
    <w:rsid w:val="009167D1"/>
    <w:rsid w:val="00922057"/>
    <w:rsid w:val="0096603A"/>
    <w:rsid w:val="00967BD9"/>
    <w:rsid w:val="009B44E6"/>
    <w:rsid w:val="009C5C8B"/>
    <w:rsid w:val="009C6E14"/>
    <w:rsid w:val="009E195F"/>
    <w:rsid w:val="009E38EF"/>
    <w:rsid w:val="009F7BA2"/>
    <w:rsid w:val="00A10C1F"/>
    <w:rsid w:val="00A43FA6"/>
    <w:rsid w:val="00A71333"/>
    <w:rsid w:val="00A837D0"/>
    <w:rsid w:val="00A85723"/>
    <w:rsid w:val="00AD1EEF"/>
    <w:rsid w:val="00AF751D"/>
    <w:rsid w:val="00B47197"/>
    <w:rsid w:val="00B978EA"/>
    <w:rsid w:val="00BA22A5"/>
    <w:rsid w:val="00BA4845"/>
    <w:rsid w:val="00BF23B2"/>
    <w:rsid w:val="00BF3C26"/>
    <w:rsid w:val="00BF4D73"/>
    <w:rsid w:val="00BF745D"/>
    <w:rsid w:val="00C002C1"/>
    <w:rsid w:val="00C2409E"/>
    <w:rsid w:val="00C34A0D"/>
    <w:rsid w:val="00C42403"/>
    <w:rsid w:val="00C43CB2"/>
    <w:rsid w:val="00C55B8D"/>
    <w:rsid w:val="00C63289"/>
    <w:rsid w:val="00C91C97"/>
    <w:rsid w:val="00CA0EE3"/>
    <w:rsid w:val="00CA11C2"/>
    <w:rsid w:val="00CB2F09"/>
    <w:rsid w:val="00D21833"/>
    <w:rsid w:val="00D533BB"/>
    <w:rsid w:val="00D81419"/>
    <w:rsid w:val="00D95E10"/>
    <w:rsid w:val="00DA68A5"/>
    <w:rsid w:val="00DA7114"/>
    <w:rsid w:val="00DB7D51"/>
    <w:rsid w:val="00DE3025"/>
    <w:rsid w:val="00E11FB8"/>
    <w:rsid w:val="00E20617"/>
    <w:rsid w:val="00E418DF"/>
    <w:rsid w:val="00E563D6"/>
    <w:rsid w:val="00E57D0A"/>
    <w:rsid w:val="00E57D5F"/>
    <w:rsid w:val="00E623AA"/>
    <w:rsid w:val="00E678E0"/>
    <w:rsid w:val="00E86022"/>
    <w:rsid w:val="00EA1389"/>
    <w:rsid w:val="00EA3DE3"/>
    <w:rsid w:val="00ED27E8"/>
    <w:rsid w:val="00ED3F3C"/>
    <w:rsid w:val="00ED4570"/>
    <w:rsid w:val="00EE56DD"/>
    <w:rsid w:val="00F15F2B"/>
    <w:rsid w:val="00F275A5"/>
    <w:rsid w:val="00F563F2"/>
    <w:rsid w:val="00F73E6D"/>
    <w:rsid w:val="00F90437"/>
    <w:rsid w:val="00F91B6C"/>
    <w:rsid w:val="00F92F66"/>
    <w:rsid w:val="00FB621B"/>
    <w:rsid w:val="00FB7E7F"/>
    <w:rsid w:val="00FC5525"/>
    <w:rsid w:val="00FD17D2"/>
    <w:rsid w:val="00FD338D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E8D43"/>
  <w14:defaultImageDpi w14:val="96"/>
  <w15:docId w15:val="{37F26B76-DCBB-47B1-92D7-30E19A45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B48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7B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C7B48"/>
    <w:rPr>
      <w:rFonts w:eastAsiaTheme="minorEastAsia" w:cs="Times New Roman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C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C7B48"/>
    <w:rPr>
      <w:rFonts w:eastAsiaTheme="minorEastAsia" w:cs="Times New Roman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E678E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21C86"/>
    <w:rPr>
      <w:rFonts w:ascii="Tahoma" w:eastAsiaTheme="minorEastAsia" w:hAnsi="Tahoma" w:cs="Tahoma"/>
      <w:sz w:val="16"/>
      <w:szCs w:val="16"/>
      <w:lang w:val="x-none" w:eastAsia="sk-SK"/>
    </w:rPr>
  </w:style>
  <w:style w:type="paragraph" w:styleId="Bezriadkovania">
    <w:name w:val="No Spacing"/>
    <w:uiPriority w:val="1"/>
    <w:qFormat/>
    <w:rsid w:val="0017043D"/>
    <w:pPr>
      <w:spacing w:after="0" w:line="240" w:lineRule="auto"/>
    </w:pPr>
    <w:rPr>
      <w:rFonts w:eastAsiaTheme="minorHAnsi" w:cstheme="minorBidi"/>
    </w:rPr>
  </w:style>
  <w:style w:type="character" w:styleId="Odkaznakomentr">
    <w:name w:val="annotation reference"/>
    <w:basedOn w:val="Predvolenpsmoodseku"/>
    <w:uiPriority w:val="99"/>
    <w:rsid w:val="001704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704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043D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704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7043D"/>
    <w:rPr>
      <w:rFonts w:eastAsiaTheme="minorEastAsia" w:cs="Times New Roman"/>
      <w:b/>
      <w:bCs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rsid w:val="0044643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46431"/>
    <w:rPr>
      <w:rFonts w:eastAsiaTheme="minorEastAsia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rsid w:val="004464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44643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6431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446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78D1-F41F-4D2A-8F77-05B53DEF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Kováč, Michal</dc:creator>
  <cp:lastModifiedBy>Ivanka</cp:lastModifiedBy>
  <cp:revision>11</cp:revision>
  <cp:lastPrinted>2016-03-09T09:17:00Z</cp:lastPrinted>
  <dcterms:created xsi:type="dcterms:W3CDTF">2019-04-26T11:19:00Z</dcterms:created>
  <dcterms:modified xsi:type="dcterms:W3CDTF">2019-06-25T14:49:00Z</dcterms:modified>
</cp:coreProperties>
</file>